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3299307"/>
        <w:docPartObj>
          <w:docPartGallery w:val="Cover Pages"/>
          <w:docPartUnique/>
        </w:docPartObj>
      </w:sdtPr>
      <w:sdtEndPr/>
      <w:sdtContent>
        <w:p w14:paraId="264D4725" w14:textId="33F533DF" w:rsidR="00512A54" w:rsidRDefault="00512A54" w:rsidP="00845F6F"/>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14:paraId="69C439B4" w14:textId="77777777" w:rsidTr="00512A54">
            <w:tc>
              <w:tcPr>
                <w:tcW w:w="2977" w:type="dxa"/>
              </w:tcPr>
              <w:p w14:paraId="30B0F234" w14:textId="40EEDE6E" w:rsidR="00512A54" w:rsidRDefault="00512A54" w:rsidP="00845F6F">
                <w:r>
                  <w:t>Version:</w:t>
                </w:r>
              </w:p>
            </w:tc>
            <w:tc>
              <w:tcPr>
                <w:tcW w:w="2794" w:type="dxa"/>
              </w:tcPr>
              <w:p w14:paraId="0F48752F" w14:textId="77777777" w:rsidR="00512A54" w:rsidRDefault="00512A54" w:rsidP="00845F6F">
                <w:r>
                  <w:t>1.0</w:t>
                </w:r>
              </w:p>
            </w:tc>
          </w:tr>
          <w:tr w:rsidR="00E66380" w14:paraId="349F318A" w14:textId="77777777" w:rsidTr="00512A54">
            <w:tc>
              <w:tcPr>
                <w:tcW w:w="2977" w:type="dxa"/>
              </w:tcPr>
              <w:p w14:paraId="27E69FFC" w14:textId="77777777" w:rsidR="00512A54" w:rsidRDefault="00512A54" w:rsidP="00845F6F">
                <w:r>
                  <w:t>Status:</w:t>
                </w:r>
              </w:p>
            </w:tc>
            <w:tc>
              <w:tcPr>
                <w:tcW w:w="2794" w:type="dxa"/>
              </w:tcPr>
              <w:p w14:paraId="5594481C" w14:textId="77777777" w:rsidR="00512A54" w:rsidRDefault="00512A54" w:rsidP="00845F6F">
                <w:r>
                  <w:t>Freigegeben</w:t>
                </w:r>
              </w:p>
            </w:tc>
          </w:tr>
          <w:tr w:rsidR="00E66380" w14:paraId="538E40F7" w14:textId="77777777" w:rsidTr="00512A54">
            <w:tc>
              <w:tcPr>
                <w:tcW w:w="2977" w:type="dxa"/>
              </w:tcPr>
              <w:p w14:paraId="5A3C4D07" w14:textId="77777777" w:rsidR="00512A54" w:rsidRDefault="00512A54" w:rsidP="00845F6F">
                <w:r>
                  <w:t>Dokumentenklassifizierung:</w:t>
                </w:r>
              </w:p>
            </w:tc>
            <w:tc>
              <w:tcPr>
                <w:tcW w:w="2794" w:type="dxa"/>
              </w:tcPr>
              <w:p w14:paraId="5663F3D6" w14:textId="77777777" w:rsidR="00512A54" w:rsidRDefault="00512A54" w:rsidP="00845F6F">
                <w:r>
                  <w:t>intern</w:t>
                </w:r>
              </w:p>
            </w:tc>
          </w:tr>
        </w:tbl>
        <w:p w14:paraId="74F6F389" w14:textId="60D3B6B8" w:rsidR="00512A54" w:rsidRDefault="00E66380" w:rsidP="00845F6F">
          <w:pPr>
            <w:rPr>
              <w:rFonts w:cstheme="minorHAnsi"/>
            </w:rPr>
          </w:pPr>
          <w:r>
            <w:rPr>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2186D1C4" w:rsidR="00512A54" w:rsidRDefault="00D1118E">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C238C">
                                      <w:rPr>
                                        <w:caps/>
                                        <w:color w:val="323E4F" w:themeColor="text2" w:themeShade="BF"/>
                                        <w:sz w:val="52"/>
                                        <w:szCs w:val="52"/>
                                      </w:rPr>
                                      <w:t>Standard "Rollen und Gremien"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2186D1C4" w:rsidR="00512A54" w:rsidRDefault="00170895">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C238C">
                                <w:rPr>
                                  <w:caps/>
                                  <w:color w:val="323E4F" w:themeColor="text2" w:themeShade="BF"/>
                                  <w:sz w:val="52"/>
                                  <w:szCs w:val="52"/>
                                </w:rPr>
                                <w:t>Standard "Rollen und Gremien"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Pr>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v:textbox>
                    <w10:wrap type="square" anchorx="page" anchory="page"/>
                  </v:shape>
                </w:pict>
              </mc:Fallback>
            </mc:AlternateContent>
          </w:r>
          <w:r w:rsidR="00512A54">
            <w:rPr>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Pr>
              <w:rFonts w:cstheme="minorHAnsi"/>
            </w:rPr>
            <w:br w:type="page"/>
          </w:r>
        </w:p>
      </w:sdtContent>
    </w:sdt>
    <w:p w14:paraId="67065548" w14:textId="006AEC13" w:rsidR="006B0BDE" w:rsidRDefault="006B0BDE" w:rsidP="00845F6F">
      <w:pPr>
        <w:pStyle w:val="1ohneNummer"/>
      </w:pPr>
      <w:bookmarkStart w:id="0" w:name="_Toc74856125"/>
      <w:bookmarkStart w:id="1" w:name="_Toc75072992"/>
      <w:r>
        <w:lastRenderedPageBreak/>
        <w:t>Allgemeine Informationen zum vorliegenden 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14:paraId="459EFBFE" w14:textId="77777777" w:rsidTr="00E66380">
        <w:trPr>
          <w:trHeight w:val="454"/>
        </w:trPr>
        <w:tc>
          <w:tcPr>
            <w:tcW w:w="2297" w:type="dxa"/>
            <w:shd w:val="clear" w:color="auto" w:fill="BFBFBF" w:themeFill="background1" w:themeFillShade="BF"/>
            <w:vAlign w:val="center"/>
          </w:tcPr>
          <w:p w14:paraId="79029C72" w14:textId="77777777" w:rsidR="006B0BDE" w:rsidRDefault="006B0BDE" w:rsidP="00652505">
            <w:pPr>
              <w:pStyle w:val="Tabellenkopf"/>
            </w:pPr>
            <w:r>
              <w:t>Bezeichnung</w:t>
            </w:r>
          </w:p>
        </w:tc>
        <w:tc>
          <w:tcPr>
            <w:tcW w:w="3544" w:type="dxa"/>
            <w:shd w:val="clear" w:color="auto" w:fill="BFBFBF" w:themeFill="background1" w:themeFillShade="BF"/>
            <w:vAlign w:val="center"/>
          </w:tcPr>
          <w:p w14:paraId="7438B3D4" w14:textId="77777777" w:rsidR="006B0BDE" w:rsidRDefault="006B0BDE" w:rsidP="00652505">
            <w:pPr>
              <w:pStyle w:val="Tabellenkopf"/>
            </w:pPr>
            <w:r>
              <w:t>Inhalt</w:t>
            </w:r>
          </w:p>
        </w:tc>
        <w:tc>
          <w:tcPr>
            <w:tcW w:w="3515" w:type="dxa"/>
            <w:shd w:val="clear" w:color="auto" w:fill="BFBFBF" w:themeFill="background1" w:themeFillShade="BF"/>
            <w:vAlign w:val="center"/>
          </w:tcPr>
          <w:p w14:paraId="3E57B3F1" w14:textId="77777777" w:rsidR="006B0BDE" w:rsidRDefault="006B0BDE" w:rsidP="00652505">
            <w:pPr>
              <w:pStyle w:val="Tabellenkopf"/>
            </w:pPr>
            <w:r>
              <w:t>Bearbeitungshinweis</w:t>
            </w:r>
          </w:p>
        </w:tc>
      </w:tr>
      <w:tr w:rsidR="006B0BDE" w14:paraId="79E42E66" w14:textId="77777777" w:rsidTr="00E66380">
        <w:trPr>
          <w:trHeight w:val="454"/>
        </w:trPr>
        <w:tc>
          <w:tcPr>
            <w:tcW w:w="2297" w:type="dxa"/>
            <w:vAlign w:val="center"/>
          </w:tcPr>
          <w:p w14:paraId="7F361823" w14:textId="77777777" w:rsidR="006B0BDE" w:rsidRPr="00E66380" w:rsidRDefault="006B0BDE" w:rsidP="00652505">
            <w:pPr>
              <w:pStyle w:val="TabellenInhalt"/>
            </w:pPr>
            <w:r w:rsidRPr="00E66380">
              <w:t>Eigentümer</w:t>
            </w:r>
          </w:p>
        </w:tc>
        <w:tc>
          <w:tcPr>
            <w:tcW w:w="3544" w:type="dxa"/>
            <w:vAlign w:val="center"/>
          </w:tcPr>
          <w:p w14:paraId="5948E0E3" w14:textId="6B50E13B" w:rsidR="006B0BDE" w:rsidRPr="00E66380" w:rsidRDefault="006B0BDE" w:rsidP="00652505">
            <w:pPr>
              <w:pStyle w:val="TabellenInhalt"/>
            </w:pPr>
          </w:p>
        </w:tc>
        <w:tc>
          <w:tcPr>
            <w:tcW w:w="3515" w:type="dxa"/>
            <w:vAlign w:val="center"/>
          </w:tcPr>
          <w:p w14:paraId="5BE84D23" w14:textId="77777777" w:rsidR="006B0BDE" w:rsidRDefault="006B0BDE" w:rsidP="00652505">
            <w:pPr>
              <w:pStyle w:val="TabellenInhalt"/>
            </w:pPr>
            <w:r>
              <w:t>[verantwortlich für die Erstellung und Pflege des Dokuments = Abteilungsleitung]</w:t>
            </w:r>
          </w:p>
        </w:tc>
      </w:tr>
      <w:tr w:rsidR="006B0BDE" w14:paraId="15811496" w14:textId="77777777" w:rsidTr="00E66380">
        <w:trPr>
          <w:trHeight w:val="454"/>
        </w:trPr>
        <w:tc>
          <w:tcPr>
            <w:tcW w:w="2297" w:type="dxa"/>
            <w:vAlign w:val="center"/>
          </w:tcPr>
          <w:p w14:paraId="41D4F478" w14:textId="77777777" w:rsidR="006B0BDE" w:rsidRPr="00E66380" w:rsidRDefault="006B0BDE" w:rsidP="00652505">
            <w:pPr>
              <w:pStyle w:val="TabellenInhalt"/>
            </w:pPr>
            <w:r w:rsidRPr="00E66380">
              <w:t>Autor</w:t>
            </w:r>
          </w:p>
        </w:tc>
        <w:tc>
          <w:tcPr>
            <w:tcW w:w="3544" w:type="dxa"/>
            <w:vAlign w:val="center"/>
          </w:tcPr>
          <w:p w14:paraId="21B36B59" w14:textId="18DD7E9C" w:rsidR="006B0BDE" w:rsidRPr="00E66380" w:rsidRDefault="006B0BDE" w:rsidP="00652505">
            <w:pPr>
              <w:pStyle w:val="TabellenInhalt"/>
            </w:pPr>
          </w:p>
        </w:tc>
        <w:tc>
          <w:tcPr>
            <w:tcW w:w="3515" w:type="dxa"/>
            <w:vAlign w:val="center"/>
          </w:tcPr>
          <w:p w14:paraId="7B2A014E" w14:textId="77777777" w:rsidR="006B0BDE" w:rsidRDefault="006B0BDE" w:rsidP="00652505">
            <w:pPr>
              <w:pStyle w:val="TabellenInhalt"/>
            </w:pPr>
            <w:r>
              <w:t>[operative Verantwortung für das Dokument]</w:t>
            </w:r>
          </w:p>
        </w:tc>
      </w:tr>
      <w:tr w:rsidR="006B0BDE" w14:paraId="73BE473F" w14:textId="77777777" w:rsidTr="00E66380">
        <w:trPr>
          <w:trHeight w:val="454"/>
        </w:trPr>
        <w:tc>
          <w:tcPr>
            <w:tcW w:w="2297" w:type="dxa"/>
            <w:vAlign w:val="center"/>
          </w:tcPr>
          <w:p w14:paraId="13FF6CBA" w14:textId="77777777" w:rsidR="006B0BDE" w:rsidRPr="00E66380" w:rsidRDefault="006B0BDE" w:rsidP="00652505">
            <w:pPr>
              <w:pStyle w:val="TabellenInhalt"/>
            </w:pPr>
            <w:r w:rsidRPr="00E66380">
              <w:t>Status</w:t>
            </w:r>
          </w:p>
        </w:tc>
        <w:tc>
          <w:tcPr>
            <w:tcW w:w="3544" w:type="dxa"/>
            <w:vAlign w:val="center"/>
          </w:tcPr>
          <w:p w14:paraId="48FAD1D1" w14:textId="37D791CF" w:rsidR="006B0BDE" w:rsidRPr="00E66380" w:rsidRDefault="006B0BDE" w:rsidP="00652505">
            <w:pPr>
              <w:pStyle w:val="TabellenInhalt"/>
            </w:pPr>
            <w:r w:rsidRPr="00E66380">
              <w:t>Freigegeben</w:t>
            </w:r>
          </w:p>
        </w:tc>
        <w:tc>
          <w:tcPr>
            <w:tcW w:w="3515" w:type="dxa"/>
            <w:vAlign w:val="center"/>
          </w:tcPr>
          <w:p w14:paraId="59502C3F" w14:textId="77777777" w:rsidR="006B0BDE" w:rsidRDefault="006B0BDE" w:rsidP="00652505">
            <w:pPr>
              <w:pStyle w:val="TabellenInhalt"/>
            </w:pPr>
            <w:r>
              <w:t>[Einstufung des aktuellen Dokumentenstatus &lt;Entwurf, Finaler Entwurf, Final/Freigegeben&gt;]</w:t>
            </w:r>
          </w:p>
        </w:tc>
      </w:tr>
      <w:tr w:rsidR="006B0BDE" w14:paraId="0AF82BC0" w14:textId="77777777" w:rsidTr="00E66380">
        <w:trPr>
          <w:trHeight w:val="454"/>
        </w:trPr>
        <w:tc>
          <w:tcPr>
            <w:tcW w:w="2297" w:type="dxa"/>
            <w:vAlign w:val="center"/>
          </w:tcPr>
          <w:p w14:paraId="65C03E56" w14:textId="64018EE2" w:rsidR="006B0BDE" w:rsidRPr="00E66380" w:rsidRDefault="006B0BDE" w:rsidP="00652505">
            <w:pPr>
              <w:pStyle w:val="TabellenInhalt"/>
            </w:pPr>
            <w:r w:rsidRPr="00E66380">
              <w:t>Klassifizierung</w:t>
            </w:r>
          </w:p>
        </w:tc>
        <w:tc>
          <w:tcPr>
            <w:tcW w:w="3544" w:type="dxa"/>
            <w:vAlign w:val="center"/>
          </w:tcPr>
          <w:p w14:paraId="1B244C3A" w14:textId="64DA9FC6" w:rsidR="006B0BDE" w:rsidRPr="00E66380" w:rsidRDefault="006B0BDE" w:rsidP="00652505">
            <w:pPr>
              <w:pStyle w:val="TabellenInhalt"/>
            </w:pPr>
            <w:r w:rsidRPr="00E66380">
              <w:t>intern</w:t>
            </w:r>
          </w:p>
        </w:tc>
        <w:tc>
          <w:tcPr>
            <w:tcW w:w="3515" w:type="dxa"/>
            <w:vAlign w:val="center"/>
          </w:tcPr>
          <w:p w14:paraId="5A8CFE86" w14:textId="77777777" w:rsidR="006B0BDE" w:rsidRDefault="006B0BDE" w:rsidP="00652505">
            <w:pPr>
              <w:pStyle w:val="TabellenInhalt"/>
            </w:pPr>
            <w:r>
              <w:t>[Einstufung der Dokumentenvertraulichkeit</w:t>
            </w:r>
          </w:p>
          <w:p w14:paraId="6E0D3005" w14:textId="77777777" w:rsidR="006B0BDE" w:rsidRDefault="006B0BDE" w:rsidP="00652505">
            <w:pPr>
              <w:pStyle w:val="TabellenInhalt"/>
            </w:pPr>
            <w:r>
              <w:t>offen, intern, vertraulich, streng vertraulich]</w:t>
            </w:r>
          </w:p>
        </w:tc>
      </w:tr>
      <w:tr w:rsidR="006B0BDE" w14:paraId="7833F1E4" w14:textId="77777777" w:rsidTr="00E66380">
        <w:trPr>
          <w:trHeight w:val="454"/>
        </w:trPr>
        <w:tc>
          <w:tcPr>
            <w:tcW w:w="2297" w:type="dxa"/>
            <w:vAlign w:val="center"/>
          </w:tcPr>
          <w:p w14:paraId="6DB32902" w14:textId="77777777" w:rsidR="006B0BDE" w:rsidRPr="00E66380" w:rsidRDefault="006B0BDE" w:rsidP="00652505">
            <w:pPr>
              <w:pStyle w:val="TabellenInhalt"/>
            </w:pPr>
            <w:r w:rsidRPr="00E66380">
              <w:t>Dokumen</w:t>
            </w:r>
            <w:r w:rsidRPr="00E66380">
              <w:softHyphen/>
              <w:t>tenkennung</w:t>
            </w:r>
          </w:p>
        </w:tc>
        <w:tc>
          <w:tcPr>
            <w:tcW w:w="3544" w:type="dxa"/>
            <w:vAlign w:val="center"/>
          </w:tcPr>
          <w:p w14:paraId="0D391DC7" w14:textId="6088563A" w:rsidR="006B0BDE" w:rsidRPr="00E66380" w:rsidRDefault="006B0BDE" w:rsidP="00652505">
            <w:pPr>
              <w:pStyle w:val="TabellenInhalt"/>
            </w:pPr>
            <w:r w:rsidRPr="00E66380">
              <w:t>ISMS</w:t>
            </w:r>
            <w:r w:rsidR="00CC238C">
              <w:t>20</w:t>
            </w:r>
            <w:r w:rsidRPr="00E66380">
              <w:t>0001</w:t>
            </w:r>
          </w:p>
        </w:tc>
        <w:tc>
          <w:tcPr>
            <w:tcW w:w="3515" w:type="dxa"/>
            <w:vAlign w:val="center"/>
          </w:tcPr>
          <w:p w14:paraId="63380C12" w14:textId="2AF876EB" w:rsidR="006B0BDE" w:rsidRDefault="006B0BDE" w:rsidP="00652505">
            <w:pPr>
              <w:pStyle w:val="TabellenInhalt"/>
            </w:pPr>
            <w:r>
              <w:t>[Die Dokumenten-Kennung wird von der Dokumentenlenkung vergeben]</w:t>
            </w:r>
          </w:p>
        </w:tc>
      </w:tr>
      <w:tr w:rsidR="006B0BDE" w14:paraId="31E82E84" w14:textId="77777777" w:rsidTr="00E66380">
        <w:trPr>
          <w:trHeight w:val="454"/>
        </w:trPr>
        <w:tc>
          <w:tcPr>
            <w:tcW w:w="2297" w:type="dxa"/>
            <w:vAlign w:val="center"/>
          </w:tcPr>
          <w:p w14:paraId="7BD3B27B" w14:textId="77777777" w:rsidR="006B0BDE" w:rsidRPr="00E66380" w:rsidRDefault="006B0BDE" w:rsidP="00652505">
            <w:pPr>
              <w:pStyle w:val="TabellenInhalt"/>
            </w:pPr>
            <w:r w:rsidRPr="00E66380">
              <w:t>Name des Dokuments</w:t>
            </w:r>
          </w:p>
        </w:tc>
        <w:tc>
          <w:tcPr>
            <w:tcW w:w="3544" w:type="dxa"/>
            <w:vAlign w:val="center"/>
          </w:tcPr>
          <w:p w14:paraId="0373263A" w14:textId="5BC849D9" w:rsidR="006B0BDE" w:rsidRPr="00E66380" w:rsidRDefault="00170895" w:rsidP="00652505">
            <w:pPr>
              <w:pStyle w:val="TabellenInhalt"/>
            </w:pPr>
            <w:fldSimple w:instr=" DOCPROPERTY  Title  \* MERGEFORMAT ">
              <w:r w:rsidR="005908F9">
                <w:t>Standard "Rollen und Gremien"</w:t>
              </w:r>
            </w:fldSimple>
          </w:p>
        </w:tc>
        <w:tc>
          <w:tcPr>
            <w:tcW w:w="3515" w:type="dxa"/>
            <w:vAlign w:val="center"/>
          </w:tcPr>
          <w:p w14:paraId="738E3730" w14:textId="77777777" w:rsidR="006B0BDE" w:rsidRDefault="006B0BDE" w:rsidP="00652505">
            <w:pPr>
              <w:pStyle w:val="TabellenInhalt"/>
            </w:pPr>
            <w:r>
              <w:t>[Bezeichnung des Dokuments wie auf dem Titelblatt beschrieben.]</w:t>
            </w:r>
          </w:p>
        </w:tc>
      </w:tr>
      <w:tr w:rsidR="006B0BDE" w14:paraId="350BC4D0" w14:textId="77777777" w:rsidTr="00E66380">
        <w:trPr>
          <w:trHeight w:val="454"/>
        </w:trPr>
        <w:tc>
          <w:tcPr>
            <w:tcW w:w="2297" w:type="dxa"/>
            <w:vAlign w:val="center"/>
          </w:tcPr>
          <w:p w14:paraId="334D3E05" w14:textId="77777777" w:rsidR="006B0BDE" w:rsidRPr="00E66380" w:rsidRDefault="006B0BDE" w:rsidP="00652505">
            <w:pPr>
              <w:pStyle w:val="TabellenInhalt"/>
            </w:pPr>
            <w:r w:rsidRPr="00E66380">
              <w:t xml:space="preserve">Version </w:t>
            </w:r>
          </w:p>
        </w:tc>
        <w:tc>
          <w:tcPr>
            <w:tcW w:w="3544" w:type="dxa"/>
            <w:vAlign w:val="center"/>
          </w:tcPr>
          <w:p w14:paraId="355104E8" w14:textId="3CB2B161" w:rsidR="006B0BDE" w:rsidRPr="00E66380" w:rsidRDefault="006B0BDE" w:rsidP="00652505">
            <w:pPr>
              <w:pStyle w:val="TabellenInhalt"/>
            </w:pPr>
            <w:r w:rsidRPr="00E66380">
              <w:t>1.0</w:t>
            </w:r>
          </w:p>
        </w:tc>
        <w:tc>
          <w:tcPr>
            <w:tcW w:w="3515" w:type="dxa"/>
            <w:vAlign w:val="center"/>
          </w:tcPr>
          <w:p w14:paraId="00360FE0" w14:textId="77777777" w:rsidR="006B0BDE" w:rsidRDefault="006B0BDE" w:rsidP="00652505">
            <w:pPr>
              <w:pStyle w:val="TabellenInhalt"/>
            </w:pPr>
            <w:r>
              <w:t>[zweistellige Versionsnummer]</w:t>
            </w:r>
          </w:p>
        </w:tc>
      </w:tr>
      <w:tr w:rsidR="006B0BDE" w14:paraId="2D9F1385" w14:textId="77777777" w:rsidTr="00E66380">
        <w:trPr>
          <w:trHeight w:val="454"/>
        </w:trPr>
        <w:tc>
          <w:tcPr>
            <w:tcW w:w="2297" w:type="dxa"/>
            <w:vAlign w:val="center"/>
          </w:tcPr>
          <w:p w14:paraId="1F8A417F" w14:textId="77777777" w:rsidR="006B0BDE" w:rsidRPr="00E66380" w:rsidRDefault="006B0BDE" w:rsidP="00652505">
            <w:pPr>
              <w:pStyle w:val="TabellenInhalt"/>
            </w:pPr>
            <w:r w:rsidRPr="00E66380">
              <w:t>Veröffentlichungsform</w:t>
            </w:r>
          </w:p>
        </w:tc>
        <w:tc>
          <w:tcPr>
            <w:tcW w:w="3544" w:type="dxa"/>
            <w:vAlign w:val="center"/>
          </w:tcPr>
          <w:p w14:paraId="15FF7683" w14:textId="0B94A99B" w:rsidR="006B0BDE" w:rsidRPr="00E66380" w:rsidRDefault="006B0BDE" w:rsidP="00652505">
            <w:pPr>
              <w:pStyle w:val="TabellenInhalt"/>
            </w:pPr>
            <w:r w:rsidRPr="00E66380">
              <w:t>digital</w:t>
            </w:r>
          </w:p>
        </w:tc>
        <w:tc>
          <w:tcPr>
            <w:tcW w:w="3515" w:type="dxa"/>
            <w:vAlign w:val="center"/>
          </w:tcPr>
          <w:p w14:paraId="04723D1C" w14:textId="77777777" w:rsidR="006B0BDE" w:rsidRDefault="006B0BDE" w:rsidP="00652505">
            <w:pPr>
              <w:pStyle w:val="TabellenInhalt"/>
            </w:pPr>
            <w:r>
              <w:t>[Veröffentlichungsform Papier, digital]</w:t>
            </w:r>
          </w:p>
        </w:tc>
      </w:tr>
      <w:tr w:rsidR="006B0BDE" w14:paraId="44AABD35" w14:textId="77777777" w:rsidTr="00E66380">
        <w:trPr>
          <w:trHeight w:val="454"/>
        </w:trPr>
        <w:tc>
          <w:tcPr>
            <w:tcW w:w="2297" w:type="dxa"/>
            <w:vAlign w:val="center"/>
          </w:tcPr>
          <w:p w14:paraId="4ABC9F92" w14:textId="77777777" w:rsidR="006B0BDE" w:rsidRPr="00E66380" w:rsidRDefault="006B0BDE" w:rsidP="00652505">
            <w:pPr>
              <w:pStyle w:val="TabellenInhalt"/>
            </w:pPr>
            <w:r w:rsidRPr="00E66380">
              <w:t>Speicherort</w:t>
            </w:r>
          </w:p>
        </w:tc>
        <w:tc>
          <w:tcPr>
            <w:tcW w:w="3544" w:type="dxa"/>
            <w:vAlign w:val="center"/>
          </w:tcPr>
          <w:p w14:paraId="41427E1A" w14:textId="64061B6B" w:rsidR="006B0BDE" w:rsidRPr="00E66380" w:rsidRDefault="006B0BDE" w:rsidP="00652505">
            <w:pPr>
              <w:pStyle w:val="TabellenInhalt"/>
            </w:pPr>
          </w:p>
        </w:tc>
        <w:tc>
          <w:tcPr>
            <w:tcW w:w="3515" w:type="dxa"/>
            <w:vAlign w:val="center"/>
          </w:tcPr>
          <w:p w14:paraId="2EEC9206" w14:textId="77777777" w:rsidR="006B0BDE" w:rsidRDefault="006B0BDE" w:rsidP="00652505">
            <w:pPr>
              <w:pStyle w:val="TabellenInhalt"/>
            </w:pPr>
            <w:r>
              <w:t>[Ablageort des Dokumentes]</w:t>
            </w:r>
          </w:p>
        </w:tc>
      </w:tr>
      <w:tr w:rsidR="006B0BDE" w14:paraId="34BB63AF" w14:textId="77777777" w:rsidTr="00E66380">
        <w:trPr>
          <w:trHeight w:val="454"/>
        </w:trPr>
        <w:tc>
          <w:tcPr>
            <w:tcW w:w="2297" w:type="dxa"/>
            <w:vAlign w:val="center"/>
          </w:tcPr>
          <w:p w14:paraId="6529699A" w14:textId="77777777" w:rsidR="006B0BDE" w:rsidRPr="00E66380" w:rsidRDefault="006B0BDE" w:rsidP="00652505">
            <w:pPr>
              <w:pStyle w:val="TabellenInhalt"/>
            </w:pPr>
            <w:r w:rsidRPr="00E66380">
              <w:t>Freigabe am</w:t>
            </w:r>
          </w:p>
        </w:tc>
        <w:tc>
          <w:tcPr>
            <w:tcW w:w="3544" w:type="dxa"/>
            <w:vAlign w:val="center"/>
          </w:tcPr>
          <w:p w14:paraId="00C52080" w14:textId="77777777" w:rsidR="006B0BDE" w:rsidRPr="00E66380" w:rsidRDefault="006B0BDE" w:rsidP="00652505">
            <w:pPr>
              <w:pStyle w:val="TabellenInhalt"/>
            </w:pPr>
            <w:r w:rsidRPr="00E66380">
              <w:t>&lt;TT.MM.YYYY&gt;</w:t>
            </w:r>
          </w:p>
        </w:tc>
        <w:tc>
          <w:tcPr>
            <w:tcW w:w="3515" w:type="dxa"/>
            <w:vAlign w:val="center"/>
          </w:tcPr>
          <w:p w14:paraId="257C8307" w14:textId="77777777" w:rsidR="006B0BDE" w:rsidRDefault="006B0BDE" w:rsidP="00652505">
            <w:pPr>
              <w:pStyle w:val="TabellenInhalt"/>
            </w:pPr>
            <w:r>
              <w:t>[Datum der Freigabe durch den Eigentümer]</w:t>
            </w:r>
          </w:p>
        </w:tc>
      </w:tr>
      <w:tr w:rsidR="006B0BDE" w14:paraId="0279C13D" w14:textId="77777777" w:rsidTr="00E66380">
        <w:trPr>
          <w:trHeight w:val="454"/>
        </w:trPr>
        <w:tc>
          <w:tcPr>
            <w:tcW w:w="2297" w:type="dxa"/>
            <w:vAlign w:val="center"/>
          </w:tcPr>
          <w:p w14:paraId="4D3F5B70" w14:textId="4696058D" w:rsidR="006B0BDE" w:rsidRPr="00E66380" w:rsidRDefault="006B0BDE" w:rsidP="00652505">
            <w:pPr>
              <w:pStyle w:val="TabellenInhalt"/>
            </w:pPr>
            <w:r w:rsidRPr="00E66380">
              <w:t>Freigabe bis</w:t>
            </w:r>
          </w:p>
        </w:tc>
        <w:tc>
          <w:tcPr>
            <w:tcW w:w="3544" w:type="dxa"/>
            <w:vAlign w:val="center"/>
          </w:tcPr>
          <w:p w14:paraId="12A3BC3F" w14:textId="04E7D000" w:rsidR="006B0BDE" w:rsidRPr="00E66380" w:rsidRDefault="006B0BDE" w:rsidP="00652505">
            <w:pPr>
              <w:pStyle w:val="TabellenInhalt"/>
            </w:pPr>
            <w:r w:rsidRPr="00E66380">
              <w:t>&lt;TT.MM.YYYY&gt;</w:t>
            </w:r>
          </w:p>
        </w:tc>
        <w:tc>
          <w:tcPr>
            <w:tcW w:w="3515" w:type="dxa"/>
            <w:vAlign w:val="center"/>
          </w:tcPr>
          <w:p w14:paraId="2E796739" w14:textId="5EBD5A0D" w:rsidR="006B0BDE" w:rsidRDefault="006B0BDE" w:rsidP="00652505">
            <w:pPr>
              <w:pStyle w:val="TabellenInhalt"/>
            </w:pPr>
            <w:r>
              <w:t>[Datum der Freigabe bis durch den Eigentümer]</w:t>
            </w:r>
          </w:p>
        </w:tc>
      </w:tr>
      <w:tr w:rsidR="006B0BDE" w14:paraId="02D9A14E" w14:textId="77777777" w:rsidTr="00E66380">
        <w:trPr>
          <w:trHeight w:val="454"/>
        </w:trPr>
        <w:tc>
          <w:tcPr>
            <w:tcW w:w="2297" w:type="dxa"/>
            <w:vAlign w:val="center"/>
          </w:tcPr>
          <w:p w14:paraId="13EC0223" w14:textId="77777777" w:rsidR="006B0BDE" w:rsidRPr="00E66380" w:rsidRDefault="006B0BDE" w:rsidP="00652505">
            <w:pPr>
              <w:pStyle w:val="TabellenInhalt"/>
            </w:pPr>
            <w:r w:rsidRPr="00E66380">
              <w:t>Revisionszyklus</w:t>
            </w:r>
          </w:p>
        </w:tc>
        <w:tc>
          <w:tcPr>
            <w:tcW w:w="3544" w:type="dxa"/>
            <w:vAlign w:val="center"/>
          </w:tcPr>
          <w:p w14:paraId="601AB478" w14:textId="3BD9B7D7" w:rsidR="006B0BDE" w:rsidRPr="00E66380" w:rsidRDefault="006B0BDE" w:rsidP="00652505">
            <w:pPr>
              <w:pStyle w:val="TabellenInhalt"/>
            </w:pPr>
            <w:r w:rsidRPr="00E66380">
              <w:t>Alle zwei Jahre</w:t>
            </w:r>
          </w:p>
        </w:tc>
        <w:tc>
          <w:tcPr>
            <w:tcW w:w="3515" w:type="dxa"/>
            <w:vAlign w:val="center"/>
          </w:tcPr>
          <w:p w14:paraId="7B8A472E" w14:textId="77777777" w:rsidR="006B0BDE" w:rsidRDefault="006B0BDE" w:rsidP="00652505">
            <w:pPr>
              <w:pStyle w:val="TabellenInhalt"/>
            </w:pPr>
            <w:r>
              <w:t>[Revisionszyklus alle 1, 2 Jahre]</w:t>
            </w:r>
          </w:p>
        </w:tc>
      </w:tr>
      <w:tr w:rsidR="006B0BDE" w14:paraId="63055DF3" w14:textId="77777777" w:rsidTr="00E66380">
        <w:trPr>
          <w:trHeight w:val="454"/>
        </w:trPr>
        <w:tc>
          <w:tcPr>
            <w:tcW w:w="2297" w:type="dxa"/>
            <w:vAlign w:val="center"/>
          </w:tcPr>
          <w:p w14:paraId="720DEEE5" w14:textId="77777777" w:rsidR="006B0BDE" w:rsidRPr="00E66380" w:rsidRDefault="006B0BDE" w:rsidP="00652505">
            <w:pPr>
              <w:pStyle w:val="TabellenInhalt"/>
            </w:pPr>
            <w:r w:rsidRPr="00E66380">
              <w:t>Archivierungszeitraum</w:t>
            </w:r>
          </w:p>
        </w:tc>
        <w:tc>
          <w:tcPr>
            <w:tcW w:w="3544" w:type="dxa"/>
            <w:vAlign w:val="center"/>
          </w:tcPr>
          <w:p w14:paraId="1B92C4ED" w14:textId="5F164420" w:rsidR="006B0BDE" w:rsidRPr="00E66380" w:rsidRDefault="006B0BDE" w:rsidP="00652505">
            <w:pPr>
              <w:pStyle w:val="TabellenInhalt"/>
            </w:pPr>
            <w:r w:rsidRPr="00E66380">
              <w:t>10 Jahre</w:t>
            </w:r>
          </w:p>
        </w:tc>
        <w:tc>
          <w:tcPr>
            <w:tcW w:w="3515" w:type="dxa"/>
            <w:vAlign w:val="center"/>
          </w:tcPr>
          <w:p w14:paraId="68997AB5" w14:textId="77777777" w:rsidR="006B0BDE" w:rsidRDefault="006B0BDE" w:rsidP="00652505">
            <w:pPr>
              <w:pStyle w:val="TabellenInhalt"/>
            </w:pPr>
            <w:r>
              <w:t>[Archivierungszeitraum nach Ablauf 5, 10 Jahre]</w:t>
            </w:r>
          </w:p>
        </w:tc>
      </w:tr>
    </w:tbl>
    <w:p w14:paraId="5FF21834" w14:textId="77777777" w:rsidR="006B0BDE" w:rsidRDefault="006B0BDE" w:rsidP="00845F6F"/>
    <w:p w14:paraId="68CB2151" w14:textId="77777777" w:rsidR="006B0BDE" w:rsidRDefault="006B0BDE" w:rsidP="00845F6F"/>
    <w:p w14:paraId="48A822D8" w14:textId="6E90E3DA" w:rsidR="00CC238C" w:rsidRDefault="00CC238C">
      <w:pPr>
        <w:spacing w:before="0" w:after="0"/>
      </w:pPr>
      <w:r>
        <w:br w:type="page"/>
      </w:r>
    </w:p>
    <w:p w14:paraId="35A34835" w14:textId="77777777" w:rsidR="000F54B1" w:rsidRPr="006B0BDE" w:rsidRDefault="000F54B1" w:rsidP="00845F6F">
      <w:pPr>
        <w:pStyle w:val="berschrift1"/>
      </w:pPr>
      <w:bookmarkStart w:id="2" w:name="_Toc55125667"/>
      <w:bookmarkStart w:id="3" w:name="_Toc74856126"/>
      <w:bookmarkStart w:id="4" w:name="_Toc75072993"/>
      <w:r w:rsidRPr="006B0BDE">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6B0BD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6B0BDE" w:rsidRDefault="000F54B1" w:rsidP="00652505">
            <w:pPr>
              <w:pStyle w:val="Tabellenkopf"/>
              <w:rPr>
                <w:rFonts w:eastAsia="Times New Roman"/>
              </w:rPr>
            </w:pPr>
            <w:r w:rsidRPr="006B0BD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6B0BDE" w:rsidRDefault="000F54B1" w:rsidP="00652505">
            <w:pPr>
              <w:pStyle w:val="Tabellenkopf"/>
              <w:rPr>
                <w:rFonts w:eastAsia="Times New Roman"/>
              </w:rPr>
            </w:pPr>
            <w:r w:rsidRPr="006B0BD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6B0BDE" w:rsidRDefault="000F54B1" w:rsidP="00652505">
            <w:pPr>
              <w:pStyle w:val="Tabellenkopf"/>
              <w:rPr>
                <w:rFonts w:eastAsia="Times New Roman"/>
              </w:rPr>
            </w:pPr>
            <w:r w:rsidRPr="006B0BD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6B0BDE" w:rsidRDefault="000F54B1" w:rsidP="00652505">
            <w:pPr>
              <w:pStyle w:val="Tabellenkopf"/>
              <w:rPr>
                <w:rFonts w:eastAsia="Times New Roman"/>
              </w:rPr>
            </w:pPr>
            <w:r w:rsidRPr="006B0BDE">
              <w:rPr>
                <w:rFonts w:eastAsia="Times New Roman"/>
              </w:rPr>
              <w:t>Datum</w:t>
            </w:r>
          </w:p>
        </w:tc>
      </w:tr>
      <w:tr w:rsidR="000F54B1" w:rsidRPr="006B0BD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6B0BDE" w:rsidRDefault="000F54B1" w:rsidP="00652505">
            <w:pPr>
              <w:pStyle w:val="TabellenInhalt"/>
              <w:rPr>
                <w:rFonts w:eastAsia="Times New Roman"/>
              </w:rPr>
            </w:pPr>
            <w:r w:rsidRPr="006B0BD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7777777" w:rsidR="000F54B1" w:rsidRPr="006B0BDE" w:rsidRDefault="000F54B1" w:rsidP="00652505">
            <w:pPr>
              <w:pStyle w:val="TabellenInhalt"/>
            </w:pPr>
            <w:r w:rsidRPr="006B0BDE">
              <w:t>initiale 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6B0BD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6B0BDE" w:rsidRDefault="000F54B1" w:rsidP="00652505">
            <w:pPr>
              <w:pStyle w:val="TabellenInhalt"/>
              <w:rPr>
                <w:rFonts w:eastAsia="Times New Roman"/>
              </w:rPr>
            </w:pPr>
          </w:p>
        </w:tc>
      </w:tr>
      <w:tr w:rsidR="000F54B1" w:rsidRPr="006B0BD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D608BC8" w:rsidR="000F54B1" w:rsidRPr="006B0BDE" w:rsidRDefault="000F54B1" w:rsidP="00652505">
            <w:pPr>
              <w:pStyle w:val="TabellenInhalt"/>
              <w:rPr>
                <w:rFonts w:eastAsia="Times New Roman"/>
              </w:rPr>
            </w:pPr>
            <w:r w:rsidRPr="006B0BDE">
              <w:rPr>
                <w:rFonts w:eastAsia="Times New Roman"/>
              </w:rPr>
              <w:t>0.2</w:t>
            </w:r>
            <w:r w:rsidR="006B0BDE">
              <w:rPr>
                <w:rFonts w:eastAsia="Times New Roman"/>
              </w:rPr>
              <w:t xml:space="preserve"> – 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6B0BDE" w:rsidRDefault="000F54B1" w:rsidP="00652505">
            <w:pPr>
              <w:pStyle w:val="TabellenInhalt"/>
              <w:rPr>
                <w:rFonts w:eastAsia="Times New Roman"/>
              </w:rPr>
            </w:pPr>
            <w:r w:rsidRPr="006B0BD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6B0BDE" w:rsidRDefault="000F54B1" w:rsidP="00652505">
            <w:pPr>
              <w:pStyle w:val="TabellenInhalt"/>
              <w:rPr>
                <w:rFonts w:eastAsia="Times New Roman"/>
              </w:rPr>
            </w:pPr>
          </w:p>
        </w:tc>
      </w:tr>
      <w:tr w:rsidR="000F54B1" w:rsidRPr="006B0BD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6B0BDE" w:rsidRDefault="000F54B1" w:rsidP="00652505">
            <w:pPr>
              <w:pStyle w:val="TabellenInhalt"/>
              <w:rPr>
                <w:rFonts w:eastAsia="Times New Roman"/>
              </w:rPr>
            </w:pPr>
            <w:r w:rsidRPr="006B0BD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7777777" w:rsidR="000F54B1" w:rsidRPr="006B0BDE" w:rsidRDefault="000F54B1" w:rsidP="00652505">
            <w:pPr>
              <w:pStyle w:val="TabellenInhalt"/>
              <w:rPr>
                <w:rFonts w:eastAsia="Times New Roman"/>
              </w:rPr>
            </w:pPr>
            <w:r w:rsidRPr="006B0BDE">
              <w:rPr>
                <w:rFonts w:eastAsia="Times New Roman"/>
              </w:rPr>
              <w:t>final 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6B0BDE" w:rsidRDefault="000F54B1" w:rsidP="00652505">
            <w:pPr>
              <w:pStyle w:val="TabellenInhalt"/>
              <w:rPr>
                <w:rFonts w:eastAsia="Times New Roman"/>
              </w:rPr>
            </w:pPr>
          </w:p>
        </w:tc>
      </w:tr>
      <w:tr w:rsidR="000F54B1" w:rsidRPr="006B0BD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6B0BDE" w:rsidRDefault="000F54B1" w:rsidP="00652505">
            <w:pPr>
              <w:pStyle w:val="TabellenInhalt"/>
              <w:rPr>
                <w:rFonts w:eastAsia="Times New Roman"/>
              </w:rPr>
            </w:pPr>
            <w:r w:rsidRPr="006B0BD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6B0BDE" w:rsidRDefault="000F54B1" w:rsidP="00652505">
            <w:pPr>
              <w:pStyle w:val="TabellenInhalt"/>
              <w:rPr>
                <w:rFonts w:eastAsia="Times New Roman"/>
              </w:rPr>
            </w:pPr>
            <w:r w:rsidRPr="006B0BD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6B0BDE" w:rsidRDefault="000F54B1" w:rsidP="00652505">
            <w:pPr>
              <w:pStyle w:val="TabellenInhalt"/>
              <w:rPr>
                <w:rFonts w:eastAsia="Times New Roman"/>
              </w:rPr>
            </w:pPr>
          </w:p>
        </w:tc>
      </w:tr>
      <w:tr w:rsidR="006B0BDE" w:rsidRPr="006B0BD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6B0BDE" w:rsidRDefault="006B0BDE" w:rsidP="00652505">
            <w:pPr>
              <w:pStyle w:val="TabellenInhalt"/>
              <w:rPr>
                <w:rFonts w:eastAsia="Times New Roman"/>
              </w:rPr>
            </w:pPr>
          </w:p>
        </w:tc>
      </w:tr>
      <w:tr w:rsidR="006B0BDE" w:rsidRPr="006B0BD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6B0BDE" w:rsidRDefault="006B0BDE" w:rsidP="00652505">
            <w:pPr>
              <w:pStyle w:val="TabellenInhalt"/>
              <w:rPr>
                <w:rFonts w:eastAsia="Times New Roman"/>
              </w:rPr>
            </w:pPr>
          </w:p>
        </w:tc>
      </w:tr>
      <w:tr w:rsidR="006B0BDE" w:rsidRPr="006B0BD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6B0BDE" w:rsidRDefault="006B0BDE" w:rsidP="00652505">
            <w:pPr>
              <w:pStyle w:val="TabellenInhalt"/>
              <w:rPr>
                <w:rFonts w:eastAsia="Times New Roman"/>
              </w:rPr>
            </w:pPr>
          </w:p>
        </w:tc>
      </w:tr>
    </w:tbl>
    <w:p w14:paraId="034A3DEE" w14:textId="6886C15F" w:rsidR="006B0BDE" w:rsidRDefault="006B0BDE" w:rsidP="00845F6F"/>
    <w:p w14:paraId="14B5470F" w14:textId="3C69F1B0" w:rsidR="00CC238C" w:rsidRDefault="00CC238C">
      <w:pPr>
        <w:spacing w:before="0" w:after="0"/>
      </w:pPr>
      <w:r>
        <w:br w:type="page"/>
      </w:r>
    </w:p>
    <w:p w14:paraId="78D7710C" w14:textId="77777777" w:rsidR="006B0BDE" w:rsidRDefault="006B0BDE" w:rsidP="00845F6F">
      <w:pPr>
        <w:pStyle w:val="1ohneNummer"/>
      </w:pPr>
      <w:bookmarkStart w:id="5" w:name="_Toc75072994"/>
      <w:r>
        <w:lastRenderedPageBreak/>
        <w:t>Inhaltsverzeichnis</w:t>
      </w:r>
      <w:bookmarkEnd w:id="5"/>
    </w:p>
    <w:p w14:paraId="05605399" w14:textId="68E08AD2" w:rsidR="005908F9" w:rsidRDefault="006B0BDE">
      <w:pPr>
        <w:pStyle w:val="Verzeichnis1"/>
        <w:rPr>
          <w:rFonts w:cstheme="minorBidi"/>
          <w:b w:val="0"/>
          <w:bCs w:val="0"/>
          <w:noProof/>
          <w:sz w:val="24"/>
          <w:szCs w:val="24"/>
        </w:rPr>
      </w:pPr>
      <w:r>
        <w:rPr>
          <w:rFonts w:eastAsia="Times New Roman"/>
        </w:rPr>
        <w:fldChar w:fldCharType="begin"/>
      </w:r>
      <w:r>
        <w:instrText xml:space="preserve"> TOC \o "1-3" \h \z \u </w:instrText>
      </w:r>
      <w:r>
        <w:rPr>
          <w:rFonts w:eastAsia="Times New Roman"/>
        </w:rPr>
        <w:fldChar w:fldCharType="separate"/>
      </w:r>
      <w:hyperlink w:anchor="_Toc75072992" w:history="1">
        <w:r w:rsidR="005908F9" w:rsidRPr="00EE4ACB">
          <w:rPr>
            <w:rStyle w:val="Hyperlink"/>
            <w:noProof/>
          </w:rPr>
          <w:t>Allgemeine Informationen zum vorliegenden Dokument</w:t>
        </w:r>
        <w:r w:rsidR="005908F9">
          <w:rPr>
            <w:noProof/>
            <w:webHidden/>
          </w:rPr>
          <w:tab/>
        </w:r>
        <w:r w:rsidR="005908F9">
          <w:rPr>
            <w:noProof/>
            <w:webHidden/>
          </w:rPr>
          <w:fldChar w:fldCharType="begin"/>
        </w:r>
        <w:r w:rsidR="005908F9">
          <w:rPr>
            <w:noProof/>
            <w:webHidden/>
          </w:rPr>
          <w:instrText xml:space="preserve"> PAGEREF _Toc75072992 \h </w:instrText>
        </w:r>
        <w:r w:rsidR="005908F9">
          <w:rPr>
            <w:noProof/>
            <w:webHidden/>
          </w:rPr>
        </w:r>
        <w:r w:rsidR="005908F9">
          <w:rPr>
            <w:noProof/>
            <w:webHidden/>
          </w:rPr>
          <w:fldChar w:fldCharType="separate"/>
        </w:r>
        <w:r w:rsidR="005908F9">
          <w:rPr>
            <w:noProof/>
            <w:webHidden/>
          </w:rPr>
          <w:t>2</w:t>
        </w:r>
        <w:r w:rsidR="005908F9">
          <w:rPr>
            <w:noProof/>
            <w:webHidden/>
          </w:rPr>
          <w:fldChar w:fldCharType="end"/>
        </w:r>
      </w:hyperlink>
    </w:p>
    <w:p w14:paraId="5B73C49C" w14:textId="762DD82F" w:rsidR="005908F9" w:rsidRDefault="00D1118E">
      <w:pPr>
        <w:pStyle w:val="Verzeichnis1"/>
        <w:rPr>
          <w:rFonts w:cstheme="minorBidi"/>
          <w:b w:val="0"/>
          <w:bCs w:val="0"/>
          <w:noProof/>
          <w:sz w:val="24"/>
          <w:szCs w:val="24"/>
        </w:rPr>
      </w:pPr>
      <w:hyperlink w:anchor="_Toc75072993" w:history="1">
        <w:r w:rsidR="005908F9" w:rsidRPr="00EE4ACB">
          <w:rPr>
            <w:rStyle w:val="Hyperlink"/>
            <w:noProof/>
          </w:rPr>
          <w:t>Dokumentenhistorie</w:t>
        </w:r>
        <w:r w:rsidR="005908F9">
          <w:rPr>
            <w:noProof/>
            <w:webHidden/>
          </w:rPr>
          <w:tab/>
        </w:r>
        <w:r w:rsidR="005908F9">
          <w:rPr>
            <w:noProof/>
            <w:webHidden/>
          </w:rPr>
          <w:fldChar w:fldCharType="begin"/>
        </w:r>
        <w:r w:rsidR="005908F9">
          <w:rPr>
            <w:noProof/>
            <w:webHidden/>
          </w:rPr>
          <w:instrText xml:space="preserve"> PAGEREF _Toc75072993 \h </w:instrText>
        </w:r>
        <w:r w:rsidR="005908F9">
          <w:rPr>
            <w:noProof/>
            <w:webHidden/>
          </w:rPr>
        </w:r>
        <w:r w:rsidR="005908F9">
          <w:rPr>
            <w:noProof/>
            <w:webHidden/>
          </w:rPr>
          <w:fldChar w:fldCharType="separate"/>
        </w:r>
        <w:r w:rsidR="005908F9">
          <w:rPr>
            <w:noProof/>
            <w:webHidden/>
          </w:rPr>
          <w:t>3</w:t>
        </w:r>
        <w:r w:rsidR="005908F9">
          <w:rPr>
            <w:noProof/>
            <w:webHidden/>
          </w:rPr>
          <w:fldChar w:fldCharType="end"/>
        </w:r>
      </w:hyperlink>
    </w:p>
    <w:p w14:paraId="034A7F13" w14:textId="339AE202" w:rsidR="005908F9" w:rsidRDefault="00D1118E">
      <w:pPr>
        <w:pStyle w:val="Verzeichnis1"/>
        <w:rPr>
          <w:rFonts w:cstheme="minorBidi"/>
          <w:b w:val="0"/>
          <w:bCs w:val="0"/>
          <w:noProof/>
          <w:sz w:val="24"/>
          <w:szCs w:val="24"/>
        </w:rPr>
      </w:pPr>
      <w:hyperlink w:anchor="_Toc75072994" w:history="1">
        <w:r w:rsidR="005908F9" w:rsidRPr="00EE4ACB">
          <w:rPr>
            <w:rStyle w:val="Hyperlink"/>
            <w:noProof/>
          </w:rPr>
          <w:t>Inhaltsverzeichnis</w:t>
        </w:r>
        <w:r w:rsidR="005908F9">
          <w:rPr>
            <w:noProof/>
            <w:webHidden/>
          </w:rPr>
          <w:tab/>
        </w:r>
        <w:r w:rsidR="005908F9">
          <w:rPr>
            <w:noProof/>
            <w:webHidden/>
          </w:rPr>
          <w:fldChar w:fldCharType="begin"/>
        </w:r>
        <w:r w:rsidR="005908F9">
          <w:rPr>
            <w:noProof/>
            <w:webHidden/>
          </w:rPr>
          <w:instrText xml:space="preserve"> PAGEREF _Toc75072994 \h </w:instrText>
        </w:r>
        <w:r w:rsidR="005908F9">
          <w:rPr>
            <w:noProof/>
            <w:webHidden/>
          </w:rPr>
        </w:r>
        <w:r w:rsidR="005908F9">
          <w:rPr>
            <w:noProof/>
            <w:webHidden/>
          </w:rPr>
          <w:fldChar w:fldCharType="separate"/>
        </w:r>
        <w:r w:rsidR="005908F9">
          <w:rPr>
            <w:noProof/>
            <w:webHidden/>
          </w:rPr>
          <w:t>4</w:t>
        </w:r>
        <w:r w:rsidR="005908F9">
          <w:rPr>
            <w:noProof/>
            <w:webHidden/>
          </w:rPr>
          <w:fldChar w:fldCharType="end"/>
        </w:r>
      </w:hyperlink>
    </w:p>
    <w:p w14:paraId="5BF9ACAE" w14:textId="5E05AC37" w:rsidR="005908F9" w:rsidRDefault="00D1118E">
      <w:pPr>
        <w:pStyle w:val="Verzeichnis1"/>
        <w:rPr>
          <w:rFonts w:cstheme="minorBidi"/>
          <w:b w:val="0"/>
          <w:bCs w:val="0"/>
          <w:noProof/>
          <w:sz w:val="24"/>
          <w:szCs w:val="24"/>
        </w:rPr>
      </w:pPr>
      <w:hyperlink w:anchor="_Toc75072995" w:history="1">
        <w:r w:rsidR="005908F9" w:rsidRPr="00EE4ACB">
          <w:rPr>
            <w:rStyle w:val="Hyperlink"/>
            <w:noProof/>
          </w:rPr>
          <w:t>Allgemeine Festlegungen</w:t>
        </w:r>
        <w:r w:rsidR="005908F9">
          <w:rPr>
            <w:noProof/>
            <w:webHidden/>
          </w:rPr>
          <w:tab/>
        </w:r>
        <w:r w:rsidR="005908F9">
          <w:rPr>
            <w:noProof/>
            <w:webHidden/>
          </w:rPr>
          <w:fldChar w:fldCharType="begin"/>
        </w:r>
        <w:r w:rsidR="005908F9">
          <w:rPr>
            <w:noProof/>
            <w:webHidden/>
          </w:rPr>
          <w:instrText xml:space="preserve"> PAGEREF _Toc75072995 \h </w:instrText>
        </w:r>
        <w:r w:rsidR="005908F9">
          <w:rPr>
            <w:noProof/>
            <w:webHidden/>
          </w:rPr>
        </w:r>
        <w:r w:rsidR="005908F9">
          <w:rPr>
            <w:noProof/>
            <w:webHidden/>
          </w:rPr>
          <w:fldChar w:fldCharType="separate"/>
        </w:r>
        <w:r w:rsidR="005908F9">
          <w:rPr>
            <w:noProof/>
            <w:webHidden/>
          </w:rPr>
          <w:t>5</w:t>
        </w:r>
        <w:r w:rsidR="005908F9">
          <w:rPr>
            <w:noProof/>
            <w:webHidden/>
          </w:rPr>
          <w:fldChar w:fldCharType="end"/>
        </w:r>
      </w:hyperlink>
    </w:p>
    <w:p w14:paraId="14627292" w14:textId="6EC016A2" w:rsidR="005908F9" w:rsidRDefault="00D1118E">
      <w:pPr>
        <w:pStyle w:val="Verzeichnis2"/>
        <w:tabs>
          <w:tab w:val="right" w:leader="dot" w:pos="9062"/>
        </w:tabs>
        <w:rPr>
          <w:rFonts w:cstheme="minorBidi"/>
          <w:i w:val="0"/>
          <w:iCs w:val="0"/>
          <w:noProof/>
          <w:sz w:val="24"/>
          <w:szCs w:val="24"/>
        </w:rPr>
      </w:pPr>
      <w:hyperlink w:anchor="_Toc75072996" w:history="1">
        <w:r w:rsidR="005908F9" w:rsidRPr="00EE4ACB">
          <w:rPr>
            <w:rStyle w:val="Hyperlink"/>
            <w:noProof/>
          </w:rPr>
          <w:t>Ziel / Zweck</w:t>
        </w:r>
        <w:r w:rsidR="005908F9">
          <w:rPr>
            <w:noProof/>
            <w:webHidden/>
          </w:rPr>
          <w:tab/>
        </w:r>
        <w:r w:rsidR="005908F9">
          <w:rPr>
            <w:noProof/>
            <w:webHidden/>
          </w:rPr>
          <w:fldChar w:fldCharType="begin"/>
        </w:r>
        <w:r w:rsidR="005908F9">
          <w:rPr>
            <w:noProof/>
            <w:webHidden/>
          </w:rPr>
          <w:instrText xml:space="preserve"> PAGEREF _Toc75072996 \h </w:instrText>
        </w:r>
        <w:r w:rsidR="005908F9">
          <w:rPr>
            <w:noProof/>
            <w:webHidden/>
          </w:rPr>
        </w:r>
        <w:r w:rsidR="005908F9">
          <w:rPr>
            <w:noProof/>
            <w:webHidden/>
          </w:rPr>
          <w:fldChar w:fldCharType="separate"/>
        </w:r>
        <w:r w:rsidR="005908F9">
          <w:rPr>
            <w:noProof/>
            <w:webHidden/>
          </w:rPr>
          <w:t>5</w:t>
        </w:r>
        <w:r w:rsidR="005908F9">
          <w:rPr>
            <w:noProof/>
            <w:webHidden/>
          </w:rPr>
          <w:fldChar w:fldCharType="end"/>
        </w:r>
      </w:hyperlink>
    </w:p>
    <w:p w14:paraId="1FD20FFA" w14:textId="2C8F7A27" w:rsidR="005908F9" w:rsidRDefault="00D1118E">
      <w:pPr>
        <w:pStyle w:val="Verzeichnis2"/>
        <w:tabs>
          <w:tab w:val="right" w:leader="dot" w:pos="9062"/>
        </w:tabs>
        <w:rPr>
          <w:rFonts w:cstheme="minorBidi"/>
          <w:i w:val="0"/>
          <w:iCs w:val="0"/>
          <w:noProof/>
          <w:sz w:val="24"/>
          <w:szCs w:val="24"/>
        </w:rPr>
      </w:pPr>
      <w:hyperlink w:anchor="_Toc75072997" w:history="1">
        <w:r w:rsidR="005908F9" w:rsidRPr="00EE4ACB">
          <w:rPr>
            <w:rStyle w:val="Hyperlink"/>
            <w:noProof/>
          </w:rPr>
          <w:t>Geltungsbereich</w:t>
        </w:r>
        <w:r w:rsidR="005908F9">
          <w:rPr>
            <w:noProof/>
            <w:webHidden/>
          </w:rPr>
          <w:tab/>
        </w:r>
        <w:r w:rsidR="005908F9">
          <w:rPr>
            <w:noProof/>
            <w:webHidden/>
          </w:rPr>
          <w:fldChar w:fldCharType="begin"/>
        </w:r>
        <w:r w:rsidR="005908F9">
          <w:rPr>
            <w:noProof/>
            <w:webHidden/>
          </w:rPr>
          <w:instrText xml:space="preserve"> PAGEREF _Toc75072997 \h </w:instrText>
        </w:r>
        <w:r w:rsidR="005908F9">
          <w:rPr>
            <w:noProof/>
            <w:webHidden/>
          </w:rPr>
        </w:r>
        <w:r w:rsidR="005908F9">
          <w:rPr>
            <w:noProof/>
            <w:webHidden/>
          </w:rPr>
          <w:fldChar w:fldCharType="separate"/>
        </w:r>
        <w:r w:rsidR="005908F9">
          <w:rPr>
            <w:noProof/>
            <w:webHidden/>
          </w:rPr>
          <w:t>5</w:t>
        </w:r>
        <w:r w:rsidR="005908F9">
          <w:rPr>
            <w:noProof/>
            <w:webHidden/>
          </w:rPr>
          <w:fldChar w:fldCharType="end"/>
        </w:r>
      </w:hyperlink>
    </w:p>
    <w:p w14:paraId="58BBA17E" w14:textId="2292E53A" w:rsidR="005908F9" w:rsidRDefault="00D1118E">
      <w:pPr>
        <w:pStyle w:val="Verzeichnis2"/>
        <w:tabs>
          <w:tab w:val="right" w:leader="dot" w:pos="9062"/>
        </w:tabs>
        <w:rPr>
          <w:rFonts w:cstheme="minorBidi"/>
          <w:i w:val="0"/>
          <w:iCs w:val="0"/>
          <w:noProof/>
          <w:sz w:val="24"/>
          <w:szCs w:val="24"/>
        </w:rPr>
      </w:pPr>
      <w:hyperlink w:anchor="_Toc75072998" w:history="1">
        <w:r w:rsidR="005908F9" w:rsidRPr="00EE4ACB">
          <w:rPr>
            <w:rStyle w:val="Hyperlink"/>
            <w:noProof/>
          </w:rPr>
          <w:t>Zuständigkeiten</w:t>
        </w:r>
        <w:r w:rsidR="005908F9">
          <w:rPr>
            <w:noProof/>
            <w:webHidden/>
          </w:rPr>
          <w:tab/>
        </w:r>
        <w:r w:rsidR="005908F9">
          <w:rPr>
            <w:noProof/>
            <w:webHidden/>
          </w:rPr>
          <w:fldChar w:fldCharType="begin"/>
        </w:r>
        <w:r w:rsidR="005908F9">
          <w:rPr>
            <w:noProof/>
            <w:webHidden/>
          </w:rPr>
          <w:instrText xml:space="preserve"> PAGEREF _Toc75072998 \h </w:instrText>
        </w:r>
        <w:r w:rsidR="005908F9">
          <w:rPr>
            <w:noProof/>
            <w:webHidden/>
          </w:rPr>
        </w:r>
        <w:r w:rsidR="005908F9">
          <w:rPr>
            <w:noProof/>
            <w:webHidden/>
          </w:rPr>
          <w:fldChar w:fldCharType="separate"/>
        </w:r>
        <w:r w:rsidR="005908F9">
          <w:rPr>
            <w:noProof/>
            <w:webHidden/>
          </w:rPr>
          <w:t>5</w:t>
        </w:r>
        <w:r w:rsidR="005908F9">
          <w:rPr>
            <w:noProof/>
            <w:webHidden/>
          </w:rPr>
          <w:fldChar w:fldCharType="end"/>
        </w:r>
      </w:hyperlink>
    </w:p>
    <w:p w14:paraId="312F370A" w14:textId="1353BFF4" w:rsidR="005908F9" w:rsidRDefault="00D1118E">
      <w:pPr>
        <w:pStyle w:val="Verzeichnis2"/>
        <w:tabs>
          <w:tab w:val="right" w:leader="dot" w:pos="9062"/>
        </w:tabs>
        <w:rPr>
          <w:rFonts w:cstheme="minorBidi"/>
          <w:i w:val="0"/>
          <w:iCs w:val="0"/>
          <w:noProof/>
          <w:sz w:val="24"/>
          <w:szCs w:val="24"/>
        </w:rPr>
      </w:pPr>
      <w:hyperlink w:anchor="_Toc75072999" w:history="1">
        <w:r w:rsidR="005908F9" w:rsidRPr="00EE4ACB">
          <w:rPr>
            <w:rStyle w:val="Hyperlink"/>
            <w:noProof/>
          </w:rPr>
          <w:t>Genehmigungs- und Änderungsverfahren</w:t>
        </w:r>
        <w:r w:rsidR="005908F9">
          <w:rPr>
            <w:noProof/>
            <w:webHidden/>
          </w:rPr>
          <w:tab/>
        </w:r>
        <w:r w:rsidR="005908F9">
          <w:rPr>
            <w:noProof/>
            <w:webHidden/>
          </w:rPr>
          <w:fldChar w:fldCharType="begin"/>
        </w:r>
        <w:r w:rsidR="005908F9">
          <w:rPr>
            <w:noProof/>
            <w:webHidden/>
          </w:rPr>
          <w:instrText xml:space="preserve"> PAGEREF _Toc75072999 \h </w:instrText>
        </w:r>
        <w:r w:rsidR="005908F9">
          <w:rPr>
            <w:noProof/>
            <w:webHidden/>
          </w:rPr>
        </w:r>
        <w:r w:rsidR="005908F9">
          <w:rPr>
            <w:noProof/>
            <w:webHidden/>
          </w:rPr>
          <w:fldChar w:fldCharType="separate"/>
        </w:r>
        <w:r w:rsidR="005908F9">
          <w:rPr>
            <w:noProof/>
            <w:webHidden/>
          </w:rPr>
          <w:t>5</w:t>
        </w:r>
        <w:r w:rsidR="005908F9">
          <w:rPr>
            <w:noProof/>
            <w:webHidden/>
          </w:rPr>
          <w:fldChar w:fldCharType="end"/>
        </w:r>
      </w:hyperlink>
    </w:p>
    <w:p w14:paraId="7B5F536B" w14:textId="51E94C7F" w:rsidR="005908F9" w:rsidRDefault="00D1118E">
      <w:pPr>
        <w:pStyle w:val="Verzeichnis1"/>
        <w:rPr>
          <w:rFonts w:cstheme="minorBidi"/>
          <w:b w:val="0"/>
          <w:bCs w:val="0"/>
          <w:noProof/>
          <w:sz w:val="24"/>
          <w:szCs w:val="24"/>
        </w:rPr>
      </w:pPr>
      <w:hyperlink w:anchor="_Toc75073000" w:history="1">
        <w:r w:rsidR="005908F9" w:rsidRPr="00EE4ACB">
          <w:rPr>
            <w:rStyle w:val="Hyperlink"/>
            <w:noProof/>
          </w:rPr>
          <w:t>Standard "Rollen und Gremien"</w:t>
        </w:r>
        <w:r w:rsidR="005908F9">
          <w:rPr>
            <w:noProof/>
            <w:webHidden/>
          </w:rPr>
          <w:tab/>
        </w:r>
        <w:r w:rsidR="005908F9">
          <w:rPr>
            <w:noProof/>
            <w:webHidden/>
          </w:rPr>
          <w:fldChar w:fldCharType="begin"/>
        </w:r>
        <w:r w:rsidR="005908F9">
          <w:rPr>
            <w:noProof/>
            <w:webHidden/>
          </w:rPr>
          <w:instrText xml:space="preserve"> PAGEREF _Toc75073000 \h </w:instrText>
        </w:r>
        <w:r w:rsidR="005908F9">
          <w:rPr>
            <w:noProof/>
            <w:webHidden/>
          </w:rPr>
        </w:r>
        <w:r w:rsidR="005908F9">
          <w:rPr>
            <w:noProof/>
            <w:webHidden/>
          </w:rPr>
          <w:fldChar w:fldCharType="separate"/>
        </w:r>
        <w:r w:rsidR="005908F9">
          <w:rPr>
            <w:noProof/>
            <w:webHidden/>
          </w:rPr>
          <w:t>6</w:t>
        </w:r>
        <w:r w:rsidR="005908F9">
          <w:rPr>
            <w:noProof/>
            <w:webHidden/>
          </w:rPr>
          <w:fldChar w:fldCharType="end"/>
        </w:r>
      </w:hyperlink>
    </w:p>
    <w:p w14:paraId="13103971" w14:textId="71CEF8FE" w:rsidR="005908F9" w:rsidRDefault="00D1118E">
      <w:pPr>
        <w:pStyle w:val="Verzeichnis2"/>
        <w:tabs>
          <w:tab w:val="right" w:leader="dot" w:pos="9062"/>
        </w:tabs>
        <w:rPr>
          <w:rFonts w:cstheme="minorBidi"/>
          <w:i w:val="0"/>
          <w:iCs w:val="0"/>
          <w:noProof/>
          <w:sz w:val="24"/>
          <w:szCs w:val="24"/>
        </w:rPr>
      </w:pPr>
      <w:hyperlink w:anchor="_Toc75073001" w:history="1">
        <w:r w:rsidR="005908F9" w:rsidRPr="00EE4ACB">
          <w:rPr>
            <w:rStyle w:val="Hyperlink"/>
            <w:noProof/>
          </w:rPr>
          <w:t>Rollen im Informationssicherheitsmanagement</w:t>
        </w:r>
        <w:r w:rsidR="005908F9">
          <w:rPr>
            <w:noProof/>
            <w:webHidden/>
          </w:rPr>
          <w:tab/>
        </w:r>
        <w:r w:rsidR="005908F9">
          <w:rPr>
            <w:noProof/>
            <w:webHidden/>
          </w:rPr>
          <w:fldChar w:fldCharType="begin"/>
        </w:r>
        <w:r w:rsidR="005908F9">
          <w:rPr>
            <w:noProof/>
            <w:webHidden/>
          </w:rPr>
          <w:instrText xml:space="preserve"> PAGEREF _Toc75073001 \h </w:instrText>
        </w:r>
        <w:r w:rsidR="005908F9">
          <w:rPr>
            <w:noProof/>
            <w:webHidden/>
          </w:rPr>
        </w:r>
        <w:r w:rsidR="005908F9">
          <w:rPr>
            <w:noProof/>
            <w:webHidden/>
          </w:rPr>
          <w:fldChar w:fldCharType="separate"/>
        </w:r>
        <w:r w:rsidR="005908F9">
          <w:rPr>
            <w:noProof/>
            <w:webHidden/>
          </w:rPr>
          <w:t>6</w:t>
        </w:r>
        <w:r w:rsidR="005908F9">
          <w:rPr>
            <w:noProof/>
            <w:webHidden/>
          </w:rPr>
          <w:fldChar w:fldCharType="end"/>
        </w:r>
      </w:hyperlink>
    </w:p>
    <w:p w14:paraId="70786A68" w14:textId="3D26D5CC" w:rsidR="005908F9" w:rsidRDefault="00D1118E">
      <w:pPr>
        <w:pStyle w:val="Verzeichnis3"/>
        <w:tabs>
          <w:tab w:val="right" w:leader="dot" w:pos="9062"/>
        </w:tabs>
        <w:rPr>
          <w:rFonts w:cstheme="minorBidi"/>
          <w:noProof/>
          <w:sz w:val="24"/>
          <w:szCs w:val="24"/>
        </w:rPr>
      </w:pPr>
      <w:hyperlink w:anchor="_Toc75073002" w:history="1">
        <w:r w:rsidR="005908F9" w:rsidRPr="00EE4ACB">
          <w:rPr>
            <w:rStyle w:val="Hyperlink"/>
            <w:noProof/>
          </w:rPr>
          <w:t>Geschäftsführung</w:t>
        </w:r>
        <w:r w:rsidR="005908F9">
          <w:rPr>
            <w:noProof/>
            <w:webHidden/>
          </w:rPr>
          <w:tab/>
        </w:r>
        <w:r w:rsidR="005908F9">
          <w:rPr>
            <w:noProof/>
            <w:webHidden/>
          </w:rPr>
          <w:fldChar w:fldCharType="begin"/>
        </w:r>
        <w:r w:rsidR="005908F9">
          <w:rPr>
            <w:noProof/>
            <w:webHidden/>
          </w:rPr>
          <w:instrText xml:space="preserve"> PAGEREF _Toc75073002 \h </w:instrText>
        </w:r>
        <w:r w:rsidR="005908F9">
          <w:rPr>
            <w:noProof/>
            <w:webHidden/>
          </w:rPr>
        </w:r>
        <w:r w:rsidR="005908F9">
          <w:rPr>
            <w:noProof/>
            <w:webHidden/>
          </w:rPr>
          <w:fldChar w:fldCharType="separate"/>
        </w:r>
        <w:r w:rsidR="005908F9">
          <w:rPr>
            <w:noProof/>
            <w:webHidden/>
          </w:rPr>
          <w:t>6</w:t>
        </w:r>
        <w:r w:rsidR="005908F9">
          <w:rPr>
            <w:noProof/>
            <w:webHidden/>
          </w:rPr>
          <w:fldChar w:fldCharType="end"/>
        </w:r>
      </w:hyperlink>
    </w:p>
    <w:p w14:paraId="56970720" w14:textId="06636EC5" w:rsidR="005908F9" w:rsidRDefault="00D1118E">
      <w:pPr>
        <w:pStyle w:val="Verzeichnis3"/>
        <w:tabs>
          <w:tab w:val="right" w:leader="dot" w:pos="9062"/>
        </w:tabs>
        <w:rPr>
          <w:rFonts w:cstheme="minorBidi"/>
          <w:noProof/>
          <w:sz w:val="24"/>
          <w:szCs w:val="24"/>
        </w:rPr>
      </w:pPr>
      <w:hyperlink w:anchor="_Toc75073003" w:history="1">
        <w:r w:rsidR="005908F9" w:rsidRPr="00EE4ACB">
          <w:rPr>
            <w:rStyle w:val="Hyperlink"/>
            <w:noProof/>
            <w:highlight w:val="yellow"/>
          </w:rPr>
          <w:t>&lt;Information Security Officer&gt;</w:t>
        </w:r>
        <w:r w:rsidR="005908F9">
          <w:rPr>
            <w:noProof/>
            <w:webHidden/>
          </w:rPr>
          <w:tab/>
        </w:r>
        <w:r w:rsidR="005908F9">
          <w:rPr>
            <w:noProof/>
            <w:webHidden/>
          </w:rPr>
          <w:fldChar w:fldCharType="begin"/>
        </w:r>
        <w:r w:rsidR="005908F9">
          <w:rPr>
            <w:noProof/>
            <w:webHidden/>
          </w:rPr>
          <w:instrText xml:space="preserve"> PAGEREF _Toc75073003 \h </w:instrText>
        </w:r>
        <w:r w:rsidR="005908F9">
          <w:rPr>
            <w:noProof/>
            <w:webHidden/>
          </w:rPr>
        </w:r>
        <w:r w:rsidR="005908F9">
          <w:rPr>
            <w:noProof/>
            <w:webHidden/>
          </w:rPr>
          <w:fldChar w:fldCharType="separate"/>
        </w:r>
        <w:r w:rsidR="005908F9">
          <w:rPr>
            <w:noProof/>
            <w:webHidden/>
          </w:rPr>
          <w:t>6</w:t>
        </w:r>
        <w:r w:rsidR="005908F9">
          <w:rPr>
            <w:noProof/>
            <w:webHidden/>
          </w:rPr>
          <w:fldChar w:fldCharType="end"/>
        </w:r>
      </w:hyperlink>
    </w:p>
    <w:p w14:paraId="7AF92D77" w14:textId="3E3652BE" w:rsidR="005908F9" w:rsidRDefault="00D1118E">
      <w:pPr>
        <w:pStyle w:val="Verzeichnis3"/>
        <w:tabs>
          <w:tab w:val="right" w:leader="dot" w:pos="9062"/>
        </w:tabs>
        <w:rPr>
          <w:rFonts w:cstheme="minorBidi"/>
          <w:noProof/>
          <w:sz w:val="24"/>
          <w:szCs w:val="24"/>
        </w:rPr>
      </w:pPr>
      <w:hyperlink w:anchor="_Toc75073004" w:history="1">
        <w:r w:rsidR="005908F9" w:rsidRPr="00EE4ACB">
          <w:rPr>
            <w:rStyle w:val="Hyperlink"/>
            <w:noProof/>
          </w:rPr>
          <w:t>Informationssicherheitsmanagementteam</w:t>
        </w:r>
        <w:r w:rsidR="005908F9">
          <w:rPr>
            <w:noProof/>
            <w:webHidden/>
          </w:rPr>
          <w:tab/>
        </w:r>
        <w:r w:rsidR="005908F9">
          <w:rPr>
            <w:noProof/>
            <w:webHidden/>
          </w:rPr>
          <w:fldChar w:fldCharType="begin"/>
        </w:r>
        <w:r w:rsidR="005908F9">
          <w:rPr>
            <w:noProof/>
            <w:webHidden/>
          </w:rPr>
          <w:instrText xml:space="preserve"> PAGEREF _Toc75073004 \h </w:instrText>
        </w:r>
        <w:r w:rsidR="005908F9">
          <w:rPr>
            <w:noProof/>
            <w:webHidden/>
          </w:rPr>
        </w:r>
        <w:r w:rsidR="005908F9">
          <w:rPr>
            <w:noProof/>
            <w:webHidden/>
          </w:rPr>
          <w:fldChar w:fldCharType="separate"/>
        </w:r>
        <w:r w:rsidR="005908F9">
          <w:rPr>
            <w:noProof/>
            <w:webHidden/>
          </w:rPr>
          <w:t>8</w:t>
        </w:r>
        <w:r w:rsidR="005908F9">
          <w:rPr>
            <w:noProof/>
            <w:webHidden/>
          </w:rPr>
          <w:fldChar w:fldCharType="end"/>
        </w:r>
      </w:hyperlink>
    </w:p>
    <w:p w14:paraId="484F8181" w14:textId="44521C13" w:rsidR="00652505" w:rsidRDefault="006B0BDE" w:rsidP="00845F6F">
      <w:r>
        <w:fldChar w:fldCharType="end"/>
      </w:r>
    </w:p>
    <w:p w14:paraId="521331AF" w14:textId="77777777" w:rsidR="00652505" w:rsidRDefault="00652505">
      <w:pPr>
        <w:spacing w:before="0" w:after="0"/>
      </w:pPr>
      <w:r>
        <w:br w:type="page"/>
      </w:r>
    </w:p>
    <w:p w14:paraId="08CFD653" w14:textId="77777777" w:rsidR="00652505" w:rsidRPr="00E8775A" w:rsidRDefault="00652505" w:rsidP="00652505">
      <w:pPr>
        <w:pStyle w:val="berschrift1"/>
      </w:pPr>
      <w:bookmarkStart w:id="6" w:name="_Toc55126300"/>
      <w:bookmarkStart w:id="7" w:name="_Toc75072995"/>
      <w:r w:rsidRPr="00E8775A">
        <w:lastRenderedPageBreak/>
        <w:t>Allgemeine Festlegungen</w:t>
      </w:r>
      <w:bookmarkEnd w:id="6"/>
      <w:bookmarkEnd w:id="7"/>
    </w:p>
    <w:p w14:paraId="285DE84C" w14:textId="77777777" w:rsidR="00652505" w:rsidRPr="00E8775A" w:rsidRDefault="00652505" w:rsidP="00652505">
      <w:pPr>
        <w:pStyle w:val="berschrift2"/>
      </w:pPr>
      <w:bookmarkStart w:id="8" w:name="_Toc55126301"/>
      <w:bookmarkStart w:id="9" w:name="_Toc75072996"/>
      <w:r w:rsidRPr="00E8775A">
        <w:t>Ziel / Zweck</w:t>
      </w:r>
      <w:bookmarkEnd w:id="8"/>
      <w:bookmarkEnd w:id="9"/>
    </w:p>
    <w:p w14:paraId="35A583A7" w14:textId="77777777" w:rsidR="00652505" w:rsidRPr="00E8775A" w:rsidRDefault="00652505" w:rsidP="00652505">
      <w:r w:rsidRPr="00E8775A">
        <w:t>Zur Entwicklung, Einführung, Weiterentwicklung und dem Betrieb des ISMS sowie zur Gewährleistung unserer Sicherheitsziele wird ein Sicherheitsmanagement eingesetzt. Das Sicherheitsmanagement wird in seiner Aufgabe durch die Geschäftsführung angemessen unterstützt.</w:t>
      </w:r>
    </w:p>
    <w:p w14:paraId="29B8618E" w14:textId="77777777" w:rsidR="00652505" w:rsidRPr="00E8775A" w:rsidRDefault="00652505" w:rsidP="00652505">
      <w:r w:rsidRPr="00E8775A">
        <w:t>Um den vielseitigen Ansprüchen unserer Sicherheitsziele zu entsprechen, setzt sich das Sicherheitsmanagement aus mehreren Rollen und Gremien zusammen. Der Standard „Rollen und Gremien“ legt die Rollen, deren Aufgaben und Befugnisse sowie die Gremien fest.</w:t>
      </w:r>
    </w:p>
    <w:p w14:paraId="21834DCB" w14:textId="77777777" w:rsidR="00652505" w:rsidRPr="00E8775A" w:rsidRDefault="00652505" w:rsidP="00652505">
      <w:pPr>
        <w:pStyle w:val="berschrift2"/>
      </w:pPr>
      <w:bookmarkStart w:id="10" w:name="_Toc55126302"/>
      <w:bookmarkStart w:id="11" w:name="_Toc75072997"/>
      <w:r w:rsidRPr="00E8775A">
        <w:t>Geltungsbereich</w:t>
      </w:r>
      <w:bookmarkEnd w:id="10"/>
      <w:bookmarkEnd w:id="11"/>
    </w:p>
    <w:p w14:paraId="454C29FB" w14:textId="77777777" w:rsidR="00652505" w:rsidRPr="00E8775A" w:rsidRDefault="00652505" w:rsidP="00652505">
      <w:r w:rsidRPr="00E8775A">
        <w:t xml:space="preserve">Die Vorgaben des Dokumentes sind für alle Prozessverantwortlichen der </w:t>
      </w:r>
      <w:r w:rsidRPr="00E8775A">
        <w:rPr>
          <w:highlight w:val="yellow"/>
        </w:rPr>
        <w:t>&lt;Institution&gt;</w:t>
      </w:r>
      <w:r w:rsidRPr="00E8775A">
        <w:t xml:space="preserve"> verbindlich und entsprechend durch die zuständigen Rollenträger umzusetzen.</w:t>
      </w:r>
    </w:p>
    <w:p w14:paraId="15F355BB" w14:textId="77777777" w:rsidR="00652505" w:rsidRPr="00E8775A" w:rsidRDefault="00652505" w:rsidP="00652505">
      <w:r w:rsidRPr="00E8775A">
        <w:t xml:space="preserve">Anzuwenden sind die Vorgaben für alle durch die </w:t>
      </w:r>
      <w:r w:rsidRPr="00E8775A">
        <w:rPr>
          <w:highlight w:val="yellow"/>
        </w:rPr>
        <w:t>&lt;Institution&gt;</w:t>
      </w:r>
      <w:r w:rsidRPr="00E8775A">
        <w:t xml:space="preserve"> verantworteten Geschäftsprozesse, Hard- und Softwarekomponenten sowie ihren Konfigurationen. Die Umsetzung ist durch die entsprechenden Führungskräfte sicherzustellen.</w:t>
      </w:r>
    </w:p>
    <w:p w14:paraId="332CAEB7" w14:textId="77777777" w:rsidR="00652505" w:rsidRPr="00E8775A" w:rsidRDefault="00652505" w:rsidP="00652505">
      <w:r w:rsidRPr="00E8775A">
        <w:t xml:space="preserve">Die im Folgenden beschriebenen Vorgaben sind hingegen nicht bindend für Prozessverantwortliche von Geschäftsprozessen, die nicht durch die </w:t>
      </w:r>
      <w:r w:rsidRPr="00E8775A">
        <w:rPr>
          <w:highlight w:val="yellow"/>
        </w:rPr>
        <w:t>&lt;Institution&gt;</w:t>
      </w:r>
      <w:r w:rsidRPr="00E8775A">
        <w:t xml:space="preserve"> wahrgenommen werden. In diesen Fällen besitzen die beschriebenen Vorgaben einen empfehlenden Charakter, auf eine Einhaltung muss durch die </w:t>
      </w:r>
      <w:r w:rsidRPr="00E8775A">
        <w:rPr>
          <w:highlight w:val="yellow"/>
        </w:rPr>
        <w:t>&lt;Institution&gt;</w:t>
      </w:r>
      <w:r w:rsidRPr="00E8775A">
        <w:t xml:space="preserve"> hingewirkt werden.</w:t>
      </w:r>
    </w:p>
    <w:p w14:paraId="54377CC5" w14:textId="77777777" w:rsidR="00652505" w:rsidRPr="00E8775A" w:rsidRDefault="00652505" w:rsidP="00652505">
      <w:r w:rsidRPr="00E8775A">
        <w:t>Interne Regelungen sind geschlechterneutral zu formulieren. Aus Gründen der besseren Lesbarkeit wird auf die gleichzeitige Verwendung männlicher und weiblicher Sprachformen verzichtet. Sämtliche personenbezogenen Bezeichnungen in männlicher Form werden verallgemeinernd verwendet und beziehen sich stets auf alle Geschlechter.</w:t>
      </w:r>
    </w:p>
    <w:p w14:paraId="6FBA66AF" w14:textId="77777777" w:rsidR="00652505" w:rsidRPr="00E8775A" w:rsidRDefault="00652505" w:rsidP="00652505">
      <w:pPr>
        <w:pStyle w:val="berschrift2"/>
      </w:pPr>
      <w:bookmarkStart w:id="12" w:name="_Toc55126303"/>
      <w:bookmarkStart w:id="13" w:name="_Toc75072998"/>
      <w:r w:rsidRPr="00E8775A">
        <w:t>Zuständigkeiten</w:t>
      </w:r>
      <w:bookmarkEnd w:id="12"/>
      <w:bookmarkEnd w:id="13"/>
    </w:p>
    <w:p w14:paraId="5D022E99" w14:textId="77777777" w:rsidR="00652505" w:rsidRPr="00E8775A" w:rsidRDefault="00652505" w:rsidP="00652505">
      <w:pPr>
        <w:rPr>
          <w:rFonts w:ascii="DINOT" w:hAnsi="DINOT"/>
        </w:rPr>
      </w:pPr>
      <w:r w:rsidRPr="00E8775A">
        <w:rPr>
          <w:rFonts w:ascii="DINOT" w:hAnsi="DINOT"/>
        </w:rPr>
        <w:t>Zuständig für die Einhaltung der in diesem Dokument aufgeführten Pflichten und Anforderungen sind:</w:t>
      </w:r>
    </w:p>
    <w:p w14:paraId="37C29A7E" w14:textId="77777777" w:rsidR="00652505" w:rsidRPr="00E8775A" w:rsidRDefault="00652505" w:rsidP="00652505">
      <w:pPr>
        <w:pStyle w:val="Listenabsatz"/>
        <w:numPr>
          <w:ilvl w:val="0"/>
          <w:numId w:val="12"/>
        </w:numPr>
        <w:rPr>
          <w:rFonts w:ascii="DINOT" w:eastAsia="Times New Roman" w:hAnsi="DINOT"/>
        </w:rPr>
      </w:pPr>
      <w:r w:rsidRPr="00E8775A">
        <w:rPr>
          <w:rFonts w:ascii="DINOT" w:eastAsia="Times New Roman" w:hAnsi="DINOT"/>
        </w:rPr>
        <w:t xml:space="preserve">Eigene Mitarbeitende und beauftragte Dienstleister, welche administrative Arbeiten an IT- Systemen und Anwendungen von der </w:t>
      </w:r>
      <w:r w:rsidRPr="00E8775A">
        <w:rPr>
          <w:rFonts w:ascii="DINOT" w:eastAsia="Times New Roman" w:hAnsi="DINOT"/>
          <w:highlight w:val="yellow"/>
        </w:rPr>
        <w:t>&lt;Institution&gt;</w:t>
      </w:r>
      <w:r w:rsidRPr="00E8775A">
        <w:rPr>
          <w:rFonts w:ascii="DINOT" w:eastAsia="Times New Roman" w:hAnsi="DINOT"/>
        </w:rPr>
        <w:t xml:space="preserve"> durchführen,</w:t>
      </w:r>
    </w:p>
    <w:p w14:paraId="3FADB7BA" w14:textId="77777777" w:rsidR="00652505" w:rsidRPr="00E8775A" w:rsidRDefault="00652505" w:rsidP="00652505">
      <w:pPr>
        <w:pStyle w:val="Listenabsatz"/>
        <w:numPr>
          <w:ilvl w:val="0"/>
          <w:numId w:val="12"/>
        </w:numPr>
        <w:rPr>
          <w:rFonts w:ascii="DINOT" w:eastAsia="Times New Roman" w:hAnsi="DINOT"/>
        </w:rPr>
      </w:pPr>
      <w:r w:rsidRPr="00E8775A">
        <w:rPr>
          <w:rFonts w:ascii="DINOT" w:eastAsia="Times New Roman" w:hAnsi="DINOT"/>
        </w:rPr>
        <w:t xml:space="preserve">Eigene Mitarbeitende und beauftragte Dienstleister, welche Applikationsbetreuung mit administrativem Charakter (z. B. Versionspflege, Benutzerverwaltung) betreiben. Die Kontrolle der korrekten Umsetzung der Vorgaben </w:t>
      </w:r>
      <w:r w:rsidRPr="00E8775A">
        <w:rPr>
          <w:rFonts w:ascii="DINOT" w:eastAsia="Times New Roman" w:hAnsi="DINOT"/>
          <w:color w:val="000000"/>
        </w:rPr>
        <w:t xml:space="preserve">erfolgt durch den </w:t>
      </w:r>
      <w:r w:rsidRPr="00E8775A">
        <w:rPr>
          <w:rFonts w:ascii="DINOT" w:eastAsia="Times New Roman" w:hAnsi="DINOT"/>
          <w:color w:val="000000"/>
          <w:highlight w:val="yellow"/>
        </w:rPr>
        <w:t>&lt;Bereich ???&gt;</w:t>
      </w:r>
      <w:r w:rsidRPr="00E8775A">
        <w:rPr>
          <w:rFonts w:ascii="DINOT" w:eastAsia="Times New Roman" w:hAnsi="DINOT"/>
          <w:color w:val="000000"/>
        </w:rPr>
        <w:t xml:space="preserve"> bei der </w:t>
      </w:r>
      <w:r w:rsidRPr="00E8775A">
        <w:rPr>
          <w:rFonts w:ascii="DINOT" w:hAnsi="DINOT"/>
          <w:highlight w:val="yellow"/>
        </w:rPr>
        <w:t>&lt;Institution&gt;</w:t>
      </w:r>
      <w:r w:rsidRPr="00E8775A">
        <w:rPr>
          <w:rFonts w:ascii="DINOT" w:eastAsia="Times New Roman" w:hAnsi="DINOT"/>
          <w:color w:val="000000"/>
        </w:rPr>
        <w:t>.</w:t>
      </w:r>
    </w:p>
    <w:p w14:paraId="066E4040" w14:textId="77777777" w:rsidR="00652505" w:rsidRPr="00E8775A" w:rsidRDefault="00652505" w:rsidP="00652505">
      <w:pPr>
        <w:pStyle w:val="berschrift2"/>
      </w:pPr>
      <w:bookmarkStart w:id="14" w:name="_Toc55126304"/>
      <w:bookmarkStart w:id="15" w:name="_Toc75072999"/>
      <w:r w:rsidRPr="00E8775A">
        <w:t>Genehmigungs- und Änderungsverfahren</w:t>
      </w:r>
      <w:bookmarkEnd w:id="14"/>
      <w:bookmarkEnd w:id="15"/>
    </w:p>
    <w:p w14:paraId="4EA39D62" w14:textId="78D8E997" w:rsidR="00652505" w:rsidRPr="00E8775A" w:rsidRDefault="00652505" w:rsidP="00652505">
      <w:r w:rsidRPr="00E8775A">
        <w:lastRenderedPageBreak/>
        <w:t xml:space="preserve">Der Standard Rollen und Gremien wird durch den </w:t>
      </w:r>
      <w:r>
        <w:rPr>
          <w:highlight w:val="yellow"/>
        </w:rPr>
        <w:t xml:space="preserve">&lt;Informationssicherheitsbeauftragter&gt; </w:t>
      </w:r>
      <w:r w:rsidRPr="00E8775A">
        <w:t xml:space="preserve">verantwortet. Die Pflege dieses Dokuments unterliegt dem </w:t>
      </w:r>
      <w:r w:rsidRPr="00E8775A">
        <w:rPr>
          <w:highlight w:val="yellow"/>
        </w:rPr>
        <w:t>&lt;Bereich ???&gt;</w:t>
      </w:r>
      <w:r w:rsidRPr="00E8775A">
        <w:t xml:space="preserve"> vertreten durch den </w:t>
      </w:r>
      <w:r w:rsidRPr="00E8775A">
        <w:rPr>
          <w:highlight w:val="yellow"/>
        </w:rPr>
        <w:t>&lt;Information Security Officer&gt;</w:t>
      </w:r>
      <w:r w:rsidRPr="00E8775A">
        <w:t xml:space="preserve">. Änderungen werden ausschließlich von dieser Person oder seinem Stellvertreter vorgenommen. Eine Genehmigung und Freigabe erfolgt durch den </w:t>
      </w:r>
      <w:r w:rsidRPr="00E8775A">
        <w:rPr>
          <w:highlight w:val="yellow"/>
        </w:rPr>
        <w:t>&lt;Information Security Officer&gt;</w:t>
      </w:r>
      <w:r w:rsidRPr="00E8775A">
        <w:t>.</w:t>
      </w:r>
    </w:p>
    <w:p w14:paraId="75D99309" w14:textId="77777777" w:rsidR="00652505" w:rsidRPr="00E8775A" w:rsidRDefault="00652505" w:rsidP="00652505">
      <w:pPr>
        <w:pStyle w:val="berschrift1"/>
      </w:pPr>
      <w:bookmarkStart w:id="16" w:name="_Toc55126305"/>
      <w:bookmarkStart w:id="17" w:name="_Toc75073000"/>
      <w:r w:rsidRPr="00E8775A">
        <w:t>Standard "Rollen und Gremien"</w:t>
      </w:r>
      <w:bookmarkEnd w:id="16"/>
      <w:bookmarkEnd w:id="17"/>
    </w:p>
    <w:p w14:paraId="36EAC9B0" w14:textId="77777777" w:rsidR="00652505" w:rsidRPr="00E8775A" w:rsidRDefault="00652505" w:rsidP="00652505">
      <w:pPr>
        <w:pStyle w:val="berschrift2"/>
      </w:pPr>
      <w:bookmarkStart w:id="18" w:name="_Toc55126306"/>
      <w:bookmarkStart w:id="19" w:name="_Toc75073001"/>
      <w:r w:rsidRPr="00E8775A">
        <w:t>Rollen im Informationssicherheitsmanagement</w:t>
      </w:r>
      <w:bookmarkEnd w:id="18"/>
      <w:bookmarkEnd w:id="19"/>
    </w:p>
    <w:p w14:paraId="684843DF" w14:textId="77777777" w:rsidR="00652505" w:rsidRPr="00E8775A" w:rsidRDefault="00652505" w:rsidP="00652505">
      <w:r w:rsidRPr="00E8775A">
        <w:t xml:space="preserve">Für ein stabiles und langfristig wirksames Informationssicherheitsmanagementsystem (ISMS) besteht die Notwendigkeit, Rollen und Gremien zu definieren und zu etablieren. Dieses Dokument beschreibt die Aufgaben, Verantwortlichkeiten, Kompetenzen, und Qualifikationen der Rollen und Gremien innerhalb des ISMS der </w:t>
      </w:r>
      <w:r w:rsidRPr="00E8775A">
        <w:rPr>
          <w:highlight w:val="yellow"/>
        </w:rPr>
        <w:t>&lt;Institution&gt;</w:t>
      </w:r>
      <w:r w:rsidRPr="00E8775A">
        <w:t>.</w:t>
      </w:r>
    </w:p>
    <w:p w14:paraId="3760A12C" w14:textId="77777777" w:rsidR="00652505" w:rsidRPr="00E8775A" w:rsidRDefault="00652505" w:rsidP="00652505">
      <w:r w:rsidRPr="00E8775A">
        <w:t>Maßgeblich für den Erfolg der Anstrengungen ist, dass den Rollen und Gremien des ISMS ausreichende Ressourcen (sowohl zeitlich als auch personell) für ihre Aufgaben zur Verfügung gestellt werden. Dies gilt insbesondere für die erstmalige Einrichtung von Prozessen im ISMS. Bereits während der Planung werden je Rolle qualifizierte Stellvertreter benannt, die die Aufgaben und Verantwortlichkeiten im Vertretungsfall wahrnehmen.</w:t>
      </w:r>
    </w:p>
    <w:p w14:paraId="1113E2B0" w14:textId="77777777" w:rsidR="00652505" w:rsidRPr="00E8775A" w:rsidRDefault="00652505" w:rsidP="00652505">
      <w:r w:rsidRPr="00E8775A">
        <w:t>Folgende Rollen und Gremien sind Bestandteil des ISMS:</w:t>
      </w:r>
    </w:p>
    <w:p w14:paraId="42EC3B46" w14:textId="77777777" w:rsidR="00652505" w:rsidRPr="00652505" w:rsidRDefault="00652505" w:rsidP="00652505">
      <w:pPr>
        <w:pStyle w:val="Listenabsatz"/>
        <w:numPr>
          <w:ilvl w:val="0"/>
          <w:numId w:val="5"/>
        </w:numPr>
        <w:rPr>
          <w:rFonts w:eastAsia="Times New Roman"/>
        </w:rPr>
      </w:pPr>
      <w:r w:rsidRPr="00652505">
        <w:rPr>
          <w:rFonts w:eastAsia="Times New Roman"/>
        </w:rPr>
        <w:t>Rollen</w:t>
      </w:r>
    </w:p>
    <w:p w14:paraId="7BAAD540" w14:textId="77777777" w:rsidR="00652505" w:rsidRPr="00652505" w:rsidRDefault="00652505" w:rsidP="00652505">
      <w:pPr>
        <w:pStyle w:val="Listenabsatz"/>
        <w:numPr>
          <w:ilvl w:val="1"/>
          <w:numId w:val="5"/>
        </w:numPr>
        <w:rPr>
          <w:rFonts w:eastAsia="Times New Roman"/>
        </w:rPr>
      </w:pPr>
      <w:r w:rsidRPr="00652505">
        <w:rPr>
          <w:rFonts w:eastAsia="Times New Roman"/>
        </w:rPr>
        <w:t>Geschäftsführung</w:t>
      </w:r>
    </w:p>
    <w:p w14:paraId="63C3FCDF" w14:textId="218E91EC" w:rsidR="00652505" w:rsidRPr="00652505" w:rsidRDefault="00652505" w:rsidP="00652505">
      <w:pPr>
        <w:pStyle w:val="Listenabsatz"/>
        <w:numPr>
          <w:ilvl w:val="1"/>
          <w:numId w:val="5"/>
        </w:numPr>
        <w:rPr>
          <w:rFonts w:eastAsia="Times New Roman"/>
          <w:highlight w:val="yellow"/>
        </w:rPr>
      </w:pPr>
      <w:r w:rsidRPr="00652505">
        <w:rPr>
          <w:rFonts w:eastAsia="Times New Roman"/>
          <w:highlight w:val="yellow"/>
        </w:rPr>
        <w:t>&lt;</w:t>
      </w:r>
      <w:r>
        <w:rPr>
          <w:rFonts w:eastAsia="Times New Roman"/>
          <w:highlight w:val="yellow"/>
        </w:rPr>
        <w:t>Informationssicherheitsbeauftragter</w:t>
      </w:r>
      <w:r w:rsidRPr="00652505">
        <w:rPr>
          <w:rFonts w:eastAsia="Times New Roman"/>
          <w:highlight w:val="yellow"/>
        </w:rPr>
        <w:t>&gt;</w:t>
      </w:r>
    </w:p>
    <w:p w14:paraId="39DB05C3" w14:textId="2ED0DD53" w:rsidR="00652505" w:rsidRPr="00652505" w:rsidRDefault="00652505" w:rsidP="00652505">
      <w:pPr>
        <w:pStyle w:val="Listenabsatz"/>
        <w:numPr>
          <w:ilvl w:val="0"/>
          <w:numId w:val="5"/>
        </w:numPr>
        <w:rPr>
          <w:rFonts w:eastAsia="Times New Roman"/>
        </w:rPr>
      </w:pPr>
      <w:r w:rsidRPr="00652505">
        <w:rPr>
          <w:rFonts w:eastAsia="Times New Roman"/>
        </w:rPr>
        <w:t>Gremien</w:t>
      </w:r>
    </w:p>
    <w:p w14:paraId="2278D452" w14:textId="77777777" w:rsidR="00652505" w:rsidRPr="00652505" w:rsidRDefault="00652505" w:rsidP="00652505">
      <w:pPr>
        <w:pStyle w:val="Listenabsatz"/>
        <w:numPr>
          <w:ilvl w:val="1"/>
          <w:numId w:val="5"/>
        </w:numPr>
        <w:rPr>
          <w:rFonts w:eastAsia="Times New Roman"/>
        </w:rPr>
      </w:pPr>
      <w:r w:rsidRPr="00652505">
        <w:rPr>
          <w:rFonts w:eastAsia="Times New Roman"/>
        </w:rPr>
        <w:t>Informationssicherheitsmanagementteam</w:t>
      </w:r>
    </w:p>
    <w:p w14:paraId="10761666" w14:textId="77777777" w:rsidR="00652505" w:rsidRPr="00652505" w:rsidRDefault="00652505" w:rsidP="00652505">
      <w:pPr>
        <w:pStyle w:val="Listenabsatz"/>
        <w:numPr>
          <w:ilvl w:val="1"/>
          <w:numId w:val="5"/>
        </w:numPr>
        <w:rPr>
          <w:rFonts w:eastAsia="Times New Roman"/>
        </w:rPr>
      </w:pPr>
      <w:r w:rsidRPr="00652505">
        <w:rPr>
          <w:rFonts w:eastAsia="Times New Roman"/>
        </w:rPr>
        <w:t>Externe Gremien</w:t>
      </w:r>
    </w:p>
    <w:p w14:paraId="1D45FAE8" w14:textId="77777777" w:rsidR="00652505" w:rsidRPr="00E8775A" w:rsidRDefault="00652505" w:rsidP="00652505">
      <w:pPr>
        <w:pStyle w:val="berschrift3"/>
      </w:pPr>
      <w:bookmarkStart w:id="20" w:name="_Toc55126307"/>
      <w:bookmarkStart w:id="21" w:name="_Toc75073002"/>
      <w:r w:rsidRPr="00E8775A">
        <w:t>Geschäftsführung</w:t>
      </w:r>
      <w:bookmarkEnd w:id="20"/>
      <w:bookmarkEnd w:id="21"/>
    </w:p>
    <w:p w14:paraId="20B7646F" w14:textId="77777777" w:rsidR="00652505" w:rsidRPr="00E8775A" w:rsidRDefault="00652505" w:rsidP="00652505">
      <w:r w:rsidRPr="00E8775A">
        <w:t xml:space="preserve">Sicherheit zu erreichen und aufrechtzuerhalten, ist Ziel aller Sicherheitsmaßnahmen der </w:t>
      </w:r>
      <w:r w:rsidRPr="00E8775A">
        <w:rPr>
          <w:highlight w:val="yellow"/>
        </w:rPr>
        <w:t>&lt;Institution&gt;</w:t>
      </w:r>
      <w:r w:rsidRPr="00E8775A">
        <w:t>.</w:t>
      </w:r>
    </w:p>
    <w:p w14:paraId="3694BB1C" w14:textId="77777777" w:rsidR="00652505" w:rsidRPr="00E8775A" w:rsidRDefault="00652505" w:rsidP="00652505">
      <w:r w:rsidRPr="00E8775A">
        <w:t>Die Sicherheitsmaßnahmen leiten sich aus den gesetzlichen und regulatorischen Rahmenbedingungen (z. B. vertragliche Auflagen) ab und sind die Basis des Verständnisses von Verpflichtungen gegenüber den Mitarbeitenden und Anwendern.</w:t>
      </w:r>
    </w:p>
    <w:p w14:paraId="02DAF146" w14:textId="77777777" w:rsidR="00652505" w:rsidRPr="00E8775A" w:rsidRDefault="00652505" w:rsidP="00652505">
      <w:r w:rsidRPr="00E8775A">
        <w:t>Die Geschäftsführung verpflichtet sich daher, für die Wahrung der Sicherheit eine geeignete Vorsorge zu leisten. Er betrachtet Sicherheit als wichtiges Ziel und unterstützt die Tätigkeit der Rolleninhaber und Gremien zur Erfüllung ihrer Aufgaben.</w:t>
      </w:r>
    </w:p>
    <w:p w14:paraId="2466C493" w14:textId="77777777" w:rsidR="00652505" w:rsidRPr="00E8775A" w:rsidRDefault="00652505" w:rsidP="00652505">
      <w:r w:rsidRPr="00E8775A">
        <w:t>Die Geschäftsführung stellt sicher, dass für die nachfolgend genannten Rollen und Gremien Personen und Stellvertreter benannt werden.</w:t>
      </w:r>
    </w:p>
    <w:p w14:paraId="15901373" w14:textId="77777777" w:rsidR="00652505" w:rsidRPr="00E8775A" w:rsidRDefault="00652505" w:rsidP="00652505">
      <w:pPr>
        <w:pStyle w:val="berschrift3"/>
      </w:pPr>
      <w:bookmarkStart w:id="22" w:name="_Toc55126308"/>
      <w:bookmarkStart w:id="23" w:name="_Toc75073003"/>
      <w:r w:rsidRPr="00E8775A">
        <w:rPr>
          <w:highlight w:val="yellow"/>
        </w:rPr>
        <w:t>&lt;Information Security Officer&gt;</w:t>
      </w:r>
      <w:bookmarkEnd w:id="22"/>
      <w:bookmarkEnd w:id="23"/>
    </w:p>
    <w:p w14:paraId="5346D74D" w14:textId="77777777" w:rsidR="00652505" w:rsidRPr="00E8775A" w:rsidRDefault="00652505" w:rsidP="00652505">
      <w:pPr>
        <w:pStyle w:val="berschrift4"/>
      </w:pPr>
      <w:r w:rsidRPr="00E8775A">
        <w:lastRenderedPageBreak/>
        <w:t>Verantwortlichkeiten und Pflichten</w:t>
      </w:r>
    </w:p>
    <w:p w14:paraId="5FBE8B79" w14:textId="77777777" w:rsidR="00652505" w:rsidRPr="00E8775A" w:rsidRDefault="00652505" w:rsidP="00652505">
      <w:r w:rsidRPr="00E8775A">
        <w:t xml:space="preserve">Der Information Security Officer ist für die Entwicklung, Einführung, Weiterentwicklung und Betrieb des ISMS verantwortlich und verfügt über ein Mitsprache-, Weisungs- und Vetorecht bei allen Entscheidungen, die die Informationssicherheit betreffen. Seine Aufgabe ist es, die Einhaltung der gesetzten Sicherheitsziele zu gewährleisten. Darüber hinaus vertritt er die </w:t>
      </w:r>
      <w:r w:rsidRPr="00E8775A">
        <w:rPr>
          <w:highlight w:val="yellow"/>
        </w:rPr>
        <w:t>&lt;Institution&gt;</w:t>
      </w:r>
      <w:r w:rsidRPr="00E8775A">
        <w:t xml:space="preserve"> im Bereich Informationssicherheitsmanagements in definierten internen und externen Gremien. Er informiert und berät die Geschäftsführung in allen grundsätzlichen und wichtigen Fragen der Informationssicherheit. Zu seinen Hauptaufgaben zählen:</w:t>
      </w:r>
    </w:p>
    <w:p w14:paraId="2BF98D61" w14:textId="77777777" w:rsidR="00652505" w:rsidRPr="00652505" w:rsidRDefault="00652505" w:rsidP="00652505">
      <w:pPr>
        <w:pStyle w:val="Listenabsatz"/>
        <w:numPr>
          <w:ilvl w:val="0"/>
          <w:numId w:val="6"/>
        </w:numPr>
        <w:rPr>
          <w:rFonts w:eastAsia="Times New Roman"/>
        </w:rPr>
      </w:pPr>
      <w:r w:rsidRPr="00652505">
        <w:rPr>
          <w:rFonts w:eastAsia="Times New Roman"/>
        </w:rPr>
        <w:t>Die Beratung hinsichtlich der Informationssicherheit.</w:t>
      </w:r>
    </w:p>
    <w:p w14:paraId="1FB195B6" w14:textId="77777777" w:rsidR="00652505" w:rsidRPr="00652505" w:rsidRDefault="00652505" w:rsidP="00652505">
      <w:pPr>
        <w:pStyle w:val="Listenabsatz"/>
        <w:numPr>
          <w:ilvl w:val="0"/>
          <w:numId w:val="6"/>
        </w:numPr>
        <w:rPr>
          <w:rFonts w:eastAsia="Times New Roman"/>
        </w:rPr>
      </w:pPr>
      <w:r w:rsidRPr="00652505">
        <w:rPr>
          <w:rFonts w:eastAsia="Times New Roman"/>
        </w:rPr>
        <w:t>Das Einführen, Migrieren und Erhalten eines ISMS nach BSI Standard 200-1 „ISMS“.</w:t>
      </w:r>
    </w:p>
    <w:p w14:paraId="7AC927ED" w14:textId="77777777" w:rsidR="00652505" w:rsidRPr="00652505" w:rsidRDefault="00652505" w:rsidP="00652505">
      <w:pPr>
        <w:pStyle w:val="Listenabsatz"/>
        <w:numPr>
          <w:ilvl w:val="0"/>
          <w:numId w:val="6"/>
        </w:numPr>
        <w:rPr>
          <w:rFonts w:eastAsia="Times New Roman"/>
        </w:rPr>
      </w:pPr>
      <w:r w:rsidRPr="00652505">
        <w:rPr>
          <w:rFonts w:eastAsia="Times New Roman"/>
        </w:rPr>
        <w:t>Das Anwenden von Informationssicherheitsweisungsbefugnissen.</w:t>
      </w:r>
    </w:p>
    <w:p w14:paraId="120DB3E0" w14:textId="77777777" w:rsidR="00652505" w:rsidRPr="00652505" w:rsidRDefault="00652505" w:rsidP="00652505">
      <w:pPr>
        <w:pStyle w:val="Listenabsatz"/>
        <w:numPr>
          <w:ilvl w:val="0"/>
          <w:numId w:val="6"/>
        </w:numPr>
        <w:rPr>
          <w:rFonts w:eastAsia="Times New Roman"/>
        </w:rPr>
      </w:pPr>
      <w:r w:rsidRPr="00652505">
        <w:rPr>
          <w:rFonts w:eastAsia="Times New Roman"/>
        </w:rPr>
        <w:t>Die Erstellung von Sicherheitsdokumentationen und Sicherheitsrichtlinien.</w:t>
      </w:r>
    </w:p>
    <w:p w14:paraId="32BA46C2" w14:textId="77777777" w:rsidR="00652505" w:rsidRPr="00652505" w:rsidRDefault="00652505" w:rsidP="00652505">
      <w:pPr>
        <w:pStyle w:val="Listenabsatz"/>
        <w:numPr>
          <w:ilvl w:val="0"/>
          <w:numId w:val="6"/>
        </w:numPr>
        <w:rPr>
          <w:rFonts w:eastAsia="Times New Roman"/>
        </w:rPr>
      </w:pPr>
      <w:r w:rsidRPr="00652505">
        <w:rPr>
          <w:rFonts w:eastAsia="Times New Roman"/>
        </w:rPr>
        <w:t>Das Spezifizieren von Sicherheitsanforderungen an Infrastrukturen, IT-Systeme, IT-Komponenten, Netze und Anwendungen.</w:t>
      </w:r>
    </w:p>
    <w:p w14:paraId="2F3944AA" w14:textId="77777777" w:rsidR="00652505" w:rsidRPr="00652505" w:rsidRDefault="00652505" w:rsidP="00652505">
      <w:pPr>
        <w:pStyle w:val="Listenabsatz"/>
        <w:numPr>
          <w:ilvl w:val="0"/>
          <w:numId w:val="6"/>
        </w:numPr>
        <w:rPr>
          <w:rFonts w:eastAsia="Times New Roman"/>
        </w:rPr>
      </w:pPr>
      <w:r w:rsidRPr="00652505">
        <w:rPr>
          <w:rFonts w:eastAsia="Times New Roman"/>
        </w:rPr>
        <w:t>Die Beratung und Begleitung von internen und externen Projekten zu Sicherheitsfragen.</w:t>
      </w:r>
    </w:p>
    <w:p w14:paraId="430BEC79" w14:textId="77777777" w:rsidR="00652505" w:rsidRPr="00652505" w:rsidRDefault="00652505" w:rsidP="00652505">
      <w:pPr>
        <w:pStyle w:val="Listenabsatz"/>
        <w:numPr>
          <w:ilvl w:val="0"/>
          <w:numId w:val="6"/>
        </w:numPr>
        <w:rPr>
          <w:rFonts w:eastAsia="Times New Roman"/>
        </w:rPr>
      </w:pPr>
      <w:r w:rsidRPr="00652505">
        <w:rPr>
          <w:rFonts w:eastAsia="Times New Roman"/>
        </w:rPr>
        <w:t>Die Sensibilisierung und Schulung von Mitarbeitenden und Externen hinsichtlich Sicherheitsfragen und der Sicherheitskultur.</w:t>
      </w:r>
    </w:p>
    <w:p w14:paraId="3B7BB912" w14:textId="77777777" w:rsidR="00652505" w:rsidRPr="00652505" w:rsidRDefault="00652505" w:rsidP="00652505">
      <w:pPr>
        <w:pStyle w:val="Listenabsatz"/>
        <w:numPr>
          <w:ilvl w:val="0"/>
          <w:numId w:val="6"/>
        </w:numPr>
        <w:rPr>
          <w:rFonts w:eastAsia="Times New Roman"/>
        </w:rPr>
      </w:pPr>
      <w:r w:rsidRPr="00652505">
        <w:rPr>
          <w:rFonts w:eastAsia="Times New Roman"/>
        </w:rPr>
        <w:t>Die Kontrolle und Aufrechterhaltung eines geeigneten IT-Sicherheitsniveaus.</w:t>
      </w:r>
    </w:p>
    <w:p w14:paraId="1477BC96" w14:textId="77777777" w:rsidR="00652505" w:rsidRPr="00652505" w:rsidRDefault="00652505" w:rsidP="00652505">
      <w:pPr>
        <w:pStyle w:val="Listenabsatz"/>
        <w:numPr>
          <w:ilvl w:val="0"/>
          <w:numId w:val="6"/>
        </w:numPr>
        <w:rPr>
          <w:rFonts w:eastAsia="Times New Roman"/>
        </w:rPr>
      </w:pPr>
      <w:r w:rsidRPr="00652505">
        <w:rPr>
          <w:rFonts w:eastAsia="Times New Roman"/>
        </w:rPr>
        <w:t>Die Feststellung und Auswertung von Sicherheitsvorfällen.</w:t>
      </w:r>
    </w:p>
    <w:p w14:paraId="508A8030" w14:textId="77777777" w:rsidR="00652505" w:rsidRPr="00652505" w:rsidRDefault="00652505" w:rsidP="00652505">
      <w:pPr>
        <w:pStyle w:val="Listenabsatz"/>
        <w:numPr>
          <w:ilvl w:val="0"/>
          <w:numId w:val="6"/>
        </w:numPr>
        <w:rPr>
          <w:rFonts w:eastAsia="Times New Roman"/>
        </w:rPr>
      </w:pPr>
      <w:r w:rsidRPr="00652505">
        <w:rPr>
          <w:rFonts w:eastAsia="Times New Roman"/>
        </w:rPr>
        <w:t>Die Erstellung von Management-Reporten zur Informationssicherheit.</w:t>
      </w:r>
    </w:p>
    <w:p w14:paraId="6C648607" w14:textId="77777777" w:rsidR="00652505" w:rsidRPr="00652505" w:rsidRDefault="00652505" w:rsidP="00652505">
      <w:pPr>
        <w:pStyle w:val="Listenabsatz"/>
        <w:numPr>
          <w:ilvl w:val="0"/>
          <w:numId w:val="6"/>
        </w:numPr>
        <w:rPr>
          <w:rFonts w:eastAsia="Times New Roman"/>
        </w:rPr>
      </w:pPr>
      <w:r w:rsidRPr="00652505">
        <w:rPr>
          <w:rFonts w:eastAsia="Times New Roman"/>
        </w:rPr>
        <w:t>Die Leitung des Informationssicherheitsmanagementteams.</w:t>
      </w:r>
    </w:p>
    <w:p w14:paraId="6776BD84" w14:textId="77777777" w:rsidR="00652505" w:rsidRPr="00E8775A" w:rsidRDefault="00652505" w:rsidP="00652505">
      <w:r w:rsidRPr="00E8775A">
        <w:t>Er ist weiterhin zuständig für das Management von Informationssicherheitsrisiken. Der Information Security Officer pflegt einen Ansatz zur Risikoeinschätzung und führt Risikoanalysen gemäß des BSI Standards 200-3 „Risikomanagement“ durch. Die Ergebnisse berichtet er an die Geschäftsführung. Er wirkt darauf hin, dass Maßnahmen, die über das vorhandene Sicherheitsniveau hinausgehen, als notwendig erkannt, ergriffen und umgesetzt werden.</w:t>
      </w:r>
    </w:p>
    <w:p w14:paraId="51515E46" w14:textId="77777777" w:rsidR="00652505" w:rsidRPr="00E8775A" w:rsidRDefault="00652505" w:rsidP="00652505">
      <w:r w:rsidRPr="00E8775A">
        <w:t>Er und sein Stellvertreter sind dauerhafte Mitglieder des Informations</w:t>
      </w:r>
      <w:r w:rsidRPr="00E8775A">
        <w:softHyphen/>
        <w:t>sicherheits</w:t>
      </w:r>
      <w:r w:rsidRPr="00E8775A">
        <w:softHyphen/>
        <w:t>management</w:t>
      </w:r>
      <w:r w:rsidRPr="00E8775A">
        <w:softHyphen/>
        <w:t>teams.</w:t>
      </w:r>
    </w:p>
    <w:p w14:paraId="399A7DCB" w14:textId="77777777" w:rsidR="00652505" w:rsidRPr="00E8775A" w:rsidRDefault="00652505" w:rsidP="00652505">
      <w:pPr>
        <w:pStyle w:val="berschrift4"/>
      </w:pPr>
      <w:r w:rsidRPr="00E8775A">
        <w:t>Befugnisse</w:t>
      </w:r>
    </w:p>
    <w:p w14:paraId="76D8B0D4" w14:textId="1C911257" w:rsidR="00652505" w:rsidRPr="00E8775A" w:rsidRDefault="00652505" w:rsidP="00652505">
      <w:r w:rsidRPr="00E8775A">
        <w:t xml:space="preserve">Der </w:t>
      </w:r>
      <w:r>
        <w:rPr>
          <w:highlight w:val="yellow"/>
        </w:rPr>
        <w:t xml:space="preserve">&lt;Informationssicherheitsbeauftragter&gt; </w:t>
      </w:r>
      <w:r w:rsidRPr="00E8775A">
        <w:t xml:space="preserve">ist in dieser Funktion organisatorisch </w:t>
      </w:r>
      <w:r w:rsidRPr="00E8775A">
        <w:rPr>
          <w:highlight w:val="yellow"/>
        </w:rPr>
        <w:t>&lt;WEM??&gt;</w:t>
      </w:r>
      <w:r w:rsidRPr="00E8775A">
        <w:t xml:space="preserve"> unterstellt, handelt im Vertrauen der Geschäftsführung und verantwortet ihr gegenüber Maßnahmen, die er veranlasst hat. Er verfügt über ein direktes Vortragsrecht.</w:t>
      </w:r>
    </w:p>
    <w:p w14:paraId="7204BE48" w14:textId="3C0D5DC6" w:rsidR="00652505" w:rsidRPr="00E8775A" w:rsidRDefault="00652505" w:rsidP="00652505">
      <w:r w:rsidRPr="00E8775A">
        <w:t xml:space="preserve">Der </w:t>
      </w:r>
      <w:r>
        <w:rPr>
          <w:highlight w:val="yellow"/>
        </w:rPr>
        <w:t xml:space="preserve">&lt;Informationssicherheitsbeauftragter&gt; </w:t>
      </w:r>
      <w:r w:rsidRPr="00E8775A">
        <w:t>ist gegenüber den Projektmanagern, den Systembetreuern, den Anwenderbetreuern sowie den Mitarbeitenden in Bezug auf die Informationssicherheit weisungsbefugt.</w:t>
      </w:r>
    </w:p>
    <w:p w14:paraId="3B04C75E" w14:textId="77777777" w:rsidR="00652505" w:rsidRPr="00E8775A" w:rsidRDefault="00652505" w:rsidP="00652505">
      <w:r w:rsidRPr="00E8775A">
        <w:t xml:space="preserve">Er ist in Abstimmung mit der Geschäftsführung ermächtigt, Anwendungen ganz oder zeitweise einzustellen, wenn die Sicherheitsziele der </w:t>
      </w:r>
      <w:r w:rsidRPr="00E8775A">
        <w:rPr>
          <w:highlight w:val="yellow"/>
        </w:rPr>
        <w:t>&lt;Institution&gt;</w:t>
      </w:r>
      <w:r w:rsidRPr="00E8775A">
        <w:t xml:space="preserve"> gefährdet sind. Im Falle einer Gefahr im Verzug, kann er auch ohne Abstimmung mit der Geschäftsführung eigenmächtig über die Abschaltung von Anwendungen verfügen. Diese Entscheidung ist anschließend zeitnah mit der Geschäftsführung zu überprüfen.</w:t>
      </w:r>
    </w:p>
    <w:p w14:paraId="41613AB0" w14:textId="31D1FE1C" w:rsidR="00652505" w:rsidRPr="00E8775A" w:rsidRDefault="00652505" w:rsidP="00652505">
      <w:r w:rsidRPr="00E8775A">
        <w:lastRenderedPageBreak/>
        <w:t xml:space="preserve">Der </w:t>
      </w:r>
      <w:r>
        <w:rPr>
          <w:highlight w:val="yellow"/>
        </w:rPr>
        <w:t xml:space="preserve">&lt;Informationssicherheitsbeauftragter&gt; </w:t>
      </w:r>
      <w:r w:rsidRPr="00E8775A">
        <w:t>ist ermächtigt Audits durchzuführen beziehungsweise zu veranlassen, die Aufschlüsse über den Stand der Informationssicherheit geben.</w:t>
      </w:r>
    </w:p>
    <w:p w14:paraId="4A154E19" w14:textId="1D17552D" w:rsidR="00652505" w:rsidRPr="00E8775A" w:rsidRDefault="00652505" w:rsidP="00652505">
      <w:r w:rsidRPr="00E8775A">
        <w:t xml:space="preserve">Der </w:t>
      </w:r>
      <w:r>
        <w:rPr>
          <w:highlight w:val="yellow"/>
        </w:rPr>
        <w:t xml:space="preserve">&lt;Informationssicherheitsbeauftragter&gt; </w:t>
      </w:r>
      <w:r w:rsidRPr="00E8775A">
        <w:t>ist zwingend in alle die Informationssicherheit tangierenden Projekte einzubinden.</w:t>
      </w:r>
    </w:p>
    <w:p w14:paraId="2E61FEF5" w14:textId="4F772170" w:rsidR="00652505" w:rsidRPr="00E8775A" w:rsidRDefault="00652505" w:rsidP="00652505">
      <w:r w:rsidRPr="00E8775A">
        <w:t xml:space="preserve">Der </w:t>
      </w:r>
      <w:r>
        <w:rPr>
          <w:highlight w:val="yellow"/>
        </w:rPr>
        <w:t xml:space="preserve">&lt;Informationssicherheitsbeauftragter&gt; </w:t>
      </w:r>
      <w:r w:rsidRPr="00E8775A">
        <w:t xml:space="preserve">hat in Abstimmung mit der Geschäftsführung für die Erfüllung seines Aufgabenbereichs das jederzeitige Zutrittsrecht zu allen Stellen der </w:t>
      </w:r>
      <w:r w:rsidRPr="00E8775A">
        <w:rPr>
          <w:highlight w:val="yellow"/>
        </w:rPr>
        <w:t>&lt;Institution&gt;</w:t>
      </w:r>
      <w:r w:rsidRPr="00E8775A">
        <w:t>.</w:t>
      </w:r>
    </w:p>
    <w:p w14:paraId="007EC9BC" w14:textId="513E7691" w:rsidR="00652505" w:rsidRPr="00E8775A" w:rsidRDefault="00652505" w:rsidP="00652505">
      <w:r w:rsidRPr="00E8775A">
        <w:t xml:space="preserve">Der </w:t>
      </w:r>
      <w:r>
        <w:rPr>
          <w:highlight w:val="yellow"/>
        </w:rPr>
        <w:t xml:space="preserve">&lt;Informationssicherheitsbeauftragter&gt; </w:t>
      </w:r>
      <w:r w:rsidRPr="00E8775A">
        <w:t>ist befugt, sämtliche hierfür erforderlichen Regelungen, Konzepte und Maßnahmen zu entwickeln und einzuführen.</w:t>
      </w:r>
    </w:p>
    <w:p w14:paraId="5162D863" w14:textId="77777777" w:rsidR="00652505" w:rsidRPr="00E8775A" w:rsidRDefault="00652505" w:rsidP="00652505">
      <w:pPr>
        <w:pStyle w:val="berschrift3"/>
      </w:pPr>
      <w:bookmarkStart w:id="24" w:name="_Toc55126310"/>
      <w:bookmarkStart w:id="25" w:name="_Toc75073004"/>
      <w:r w:rsidRPr="00E8775A">
        <w:t>Informationssicherheitsmanagementteam</w:t>
      </w:r>
      <w:bookmarkEnd w:id="24"/>
      <w:bookmarkEnd w:id="25"/>
    </w:p>
    <w:p w14:paraId="58143A9C" w14:textId="77777777" w:rsidR="00652505" w:rsidRPr="00E8775A" w:rsidRDefault="00652505" w:rsidP="00652505">
      <w:pPr>
        <w:pStyle w:val="berschrift4"/>
      </w:pPr>
      <w:r w:rsidRPr="00E8775A">
        <w:t>Verantwortlichkeiten und Pflichten</w:t>
      </w:r>
    </w:p>
    <w:p w14:paraId="1B195B0D" w14:textId="0DBC367E" w:rsidR="00652505" w:rsidRPr="00E8775A" w:rsidRDefault="00652505" w:rsidP="00652505">
      <w:r w:rsidRPr="00E8775A">
        <w:t xml:space="preserve">Das Informationssicherheitsmanagementteam orientiert sich am BSI Standard 200-2 „IT-Grundschutz-Methodik“ und dient der Unterstützung des </w:t>
      </w:r>
      <w:r>
        <w:rPr>
          <w:highlight w:val="yellow"/>
        </w:rPr>
        <w:t xml:space="preserve">&lt;Informationssicherheitsbeauftragter&gt; </w:t>
      </w:r>
      <w:r w:rsidRPr="00E8775A">
        <w:t xml:space="preserve">bei der Koordinierung von Sicherheitsmaßnahmen, der Informationserhebung und den Kontrollaufgaben. Das Informationssicherheitsmanagementteam agiert nur im internen Umfeld der </w:t>
      </w:r>
      <w:r w:rsidRPr="00E8775A">
        <w:rPr>
          <w:highlight w:val="yellow"/>
        </w:rPr>
        <w:t>&lt;Institution&gt;</w:t>
      </w:r>
      <w:r w:rsidRPr="00E8775A">
        <w:t xml:space="preserve"> und ist zuständig für die Informationssicherheitsaspekte der eigenen Informationssysteme und Verfahren, die für die Geschäftsprozesse und Leistungserbringung der </w:t>
      </w:r>
      <w:r w:rsidRPr="00E8775A">
        <w:rPr>
          <w:highlight w:val="yellow"/>
        </w:rPr>
        <w:t>&lt;Institution&gt;</w:t>
      </w:r>
      <w:r w:rsidRPr="00E8775A">
        <w:t xml:space="preserve"> erforderlich sind. Kundenverfahren liegen somit nicht im Zuständigkeitsbereich des Informationssicherheitsmanagementteams. Das Informationssicherheitsmanagementteam trifft sich üblicherweise alle </w:t>
      </w:r>
      <w:r w:rsidRPr="00E8775A">
        <w:rPr>
          <w:highlight w:val="yellow"/>
        </w:rPr>
        <w:t>zwei Monate</w:t>
      </w:r>
      <w:r w:rsidRPr="00E8775A">
        <w:t>.</w:t>
      </w:r>
    </w:p>
    <w:p w14:paraId="36C6B62C" w14:textId="77777777" w:rsidR="00652505" w:rsidRPr="00E8775A" w:rsidRDefault="00652505" w:rsidP="00652505">
      <w:r w:rsidRPr="00E8775A">
        <w:t>Das Informationssicherheitsmanagementteam hat die Aufgabe:</w:t>
      </w:r>
    </w:p>
    <w:p w14:paraId="00479586" w14:textId="77777777" w:rsidR="00652505" w:rsidRPr="00652505" w:rsidRDefault="00652505" w:rsidP="00652505">
      <w:pPr>
        <w:pStyle w:val="Listenabsatz"/>
        <w:numPr>
          <w:ilvl w:val="0"/>
          <w:numId w:val="10"/>
        </w:numPr>
        <w:rPr>
          <w:rFonts w:eastAsia="Times New Roman"/>
        </w:rPr>
      </w:pPr>
      <w:r w:rsidRPr="00652505">
        <w:rPr>
          <w:rFonts w:eastAsia="Times New Roman"/>
        </w:rPr>
        <w:t>Die Informationssicherheitsziele und -strategien zu bestimmen und die Leitlinie zur Informationssicherheit weiterzuentwickeln.</w:t>
      </w:r>
    </w:p>
    <w:p w14:paraId="553FD97F" w14:textId="77777777" w:rsidR="00652505" w:rsidRPr="00652505" w:rsidRDefault="00652505" w:rsidP="00652505">
      <w:pPr>
        <w:pStyle w:val="Listenabsatz"/>
        <w:numPr>
          <w:ilvl w:val="0"/>
          <w:numId w:val="10"/>
        </w:numPr>
        <w:rPr>
          <w:rFonts w:eastAsia="Times New Roman"/>
        </w:rPr>
      </w:pPr>
      <w:r w:rsidRPr="00652505">
        <w:rPr>
          <w:rFonts w:eastAsia="Times New Roman"/>
        </w:rPr>
        <w:t>Die Umsetzung der Sicherheitsrichtlinien zu überprüfen.</w:t>
      </w:r>
    </w:p>
    <w:p w14:paraId="0D87B03D" w14:textId="77777777" w:rsidR="00652505" w:rsidRPr="00652505" w:rsidRDefault="00652505" w:rsidP="00652505">
      <w:pPr>
        <w:pStyle w:val="Listenabsatz"/>
        <w:numPr>
          <w:ilvl w:val="0"/>
          <w:numId w:val="10"/>
        </w:numPr>
        <w:rPr>
          <w:rFonts w:eastAsia="Times New Roman"/>
        </w:rPr>
      </w:pPr>
      <w:r w:rsidRPr="00652505">
        <w:rPr>
          <w:rFonts w:eastAsia="Times New Roman"/>
        </w:rPr>
        <w:t>Die Sicherheitsprozesse zu initiieren, steuern und kontrollieren.</w:t>
      </w:r>
    </w:p>
    <w:p w14:paraId="2980C085" w14:textId="77777777" w:rsidR="00652505" w:rsidRPr="00652505" w:rsidRDefault="00652505" w:rsidP="00652505">
      <w:pPr>
        <w:pStyle w:val="Listenabsatz"/>
        <w:numPr>
          <w:ilvl w:val="0"/>
          <w:numId w:val="10"/>
        </w:numPr>
        <w:rPr>
          <w:rFonts w:eastAsia="Times New Roman"/>
        </w:rPr>
      </w:pPr>
      <w:r w:rsidRPr="00652505">
        <w:rPr>
          <w:rFonts w:eastAsia="Times New Roman"/>
        </w:rPr>
        <w:t>Die Beratung der Erstellung von Informationssicherheitskonzepten durchzuführen.</w:t>
      </w:r>
    </w:p>
    <w:p w14:paraId="4B66762C" w14:textId="77777777" w:rsidR="00652505" w:rsidRPr="00652505" w:rsidRDefault="00652505" w:rsidP="00652505">
      <w:pPr>
        <w:pStyle w:val="Listenabsatz"/>
        <w:numPr>
          <w:ilvl w:val="0"/>
          <w:numId w:val="10"/>
        </w:numPr>
        <w:rPr>
          <w:rFonts w:eastAsia="Times New Roman"/>
        </w:rPr>
      </w:pPr>
      <w:r w:rsidRPr="00652505">
        <w:rPr>
          <w:rFonts w:eastAsia="Times New Roman"/>
        </w:rPr>
        <w:t>Die Wirksamkeit und Eignung der in den Sicherheitskonzepten geplanten Sicherheitsmaßnahmen zu überprüfen.</w:t>
      </w:r>
    </w:p>
    <w:p w14:paraId="34D0573E" w14:textId="77777777" w:rsidR="00652505" w:rsidRPr="00652505" w:rsidRDefault="00652505" w:rsidP="00652505">
      <w:pPr>
        <w:pStyle w:val="Listenabsatz"/>
        <w:numPr>
          <w:ilvl w:val="0"/>
          <w:numId w:val="10"/>
        </w:numPr>
        <w:rPr>
          <w:rFonts w:eastAsia="Times New Roman"/>
        </w:rPr>
      </w:pPr>
      <w:r w:rsidRPr="00652505">
        <w:rPr>
          <w:rFonts w:eastAsia="Times New Roman"/>
        </w:rPr>
        <w:t>Die Sensibilisierungs- und Schulungsprogramme für die Informationssicherheit zu konzipieren.</w:t>
      </w:r>
    </w:p>
    <w:p w14:paraId="37AFB686" w14:textId="77777777" w:rsidR="00652505" w:rsidRPr="00652505" w:rsidRDefault="00652505" w:rsidP="00652505">
      <w:pPr>
        <w:pStyle w:val="Listenabsatz"/>
        <w:numPr>
          <w:ilvl w:val="0"/>
          <w:numId w:val="10"/>
        </w:numPr>
        <w:rPr>
          <w:rFonts w:eastAsia="Times New Roman"/>
        </w:rPr>
      </w:pPr>
      <w:r w:rsidRPr="00652505">
        <w:rPr>
          <w:rFonts w:eastAsia="Times New Roman"/>
        </w:rPr>
        <w:t>Die auftretenden Sicherheitsvorfälle zu behandeln.</w:t>
      </w:r>
    </w:p>
    <w:p w14:paraId="6AF9F3B7" w14:textId="07AC2C82" w:rsidR="00652505" w:rsidRPr="00652505" w:rsidRDefault="00652505" w:rsidP="00652505">
      <w:pPr>
        <w:rPr>
          <w:rFonts w:ascii="DINOT" w:eastAsia="Times New Roman" w:hAnsi="DINOT"/>
        </w:rPr>
      </w:pPr>
    </w:p>
    <w:p w14:paraId="1207A6CC" w14:textId="77777777" w:rsidR="00652505" w:rsidRPr="00E8775A" w:rsidRDefault="00652505" w:rsidP="00652505">
      <w:r w:rsidRPr="00E8775A">
        <w:t xml:space="preserve">Das Informationssicherheitsmanagementteam setzt sich aus geeigneten Personen zusammen, die über Informationssicherheits- und IT-Kenntnisse verfügen sowie Erfahrungen über die prozessuale Infrastruktur der </w:t>
      </w:r>
      <w:r w:rsidRPr="00E8775A">
        <w:rPr>
          <w:highlight w:val="yellow"/>
        </w:rPr>
        <w:t>&lt;Institution&gt;</w:t>
      </w:r>
      <w:r w:rsidRPr="00E8775A">
        <w:t xml:space="preserve"> besitzen. Das Informationssicherheitsmanagementteam spiegelt die unterschiedlichen Aufgabenbereiche der </w:t>
      </w:r>
      <w:r w:rsidRPr="00E8775A">
        <w:rPr>
          <w:highlight w:val="yellow"/>
        </w:rPr>
        <w:t>&lt;Institution&gt;</w:t>
      </w:r>
      <w:r w:rsidRPr="00E8775A">
        <w:t xml:space="preserve"> </w:t>
      </w:r>
      <w:proofErr w:type="gramStart"/>
      <w:r w:rsidRPr="00E8775A">
        <w:t>wieder</w:t>
      </w:r>
      <w:proofErr w:type="gramEnd"/>
      <w:r w:rsidRPr="00E8775A">
        <w:t>. Es ist erforderlich, dass mindestens folgende Rollen im Informationssicherheitsmanagementteam bedient werden:</w:t>
      </w:r>
    </w:p>
    <w:p w14:paraId="4A96A891" w14:textId="08637A32" w:rsidR="00652505" w:rsidRPr="00652505" w:rsidRDefault="00652505" w:rsidP="00652505">
      <w:pPr>
        <w:pStyle w:val="Listenabsatz"/>
        <w:numPr>
          <w:ilvl w:val="0"/>
          <w:numId w:val="11"/>
        </w:numPr>
        <w:rPr>
          <w:rFonts w:eastAsia="Times New Roman"/>
          <w:highlight w:val="yellow"/>
        </w:rPr>
      </w:pPr>
      <w:r w:rsidRPr="00652505">
        <w:rPr>
          <w:rFonts w:eastAsia="Times New Roman"/>
          <w:highlight w:val="yellow"/>
        </w:rPr>
        <w:t>&lt;Informationssicherheitsbeauftragter&gt;</w:t>
      </w:r>
    </w:p>
    <w:p w14:paraId="38F1FD09" w14:textId="65B1BDD7" w:rsidR="00652505" w:rsidRPr="00652505" w:rsidRDefault="00652505" w:rsidP="00652505">
      <w:pPr>
        <w:pStyle w:val="Listenabsatz"/>
        <w:numPr>
          <w:ilvl w:val="0"/>
          <w:numId w:val="11"/>
        </w:numPr>
        <w:rPr>
          <w:rFonts w:eastAsia="Times New Roman"/>
          <w:highlight w:val="yellow"/>
        </w:rPr>
      </w:pPr>
      <w:r w:rsidRPr="00652505">
        <w:rPr>
          <w:rFonts w:eastAsia="Times New Roman"/>
          <w:highlight w:val="yellow"/>
        </w:rPr>
        <w:t>&lt;Chief Technology Officer&gt;</w:t>
      </w:r>
    </w:p>
    <w:p w14:paraId="3685064E" w14:textId="77777777" w:rsidR="00652505" w:rsidRPr="00652505" w:rsidRDefault="00652505" w:rsidP="00652505">
      <w:pPr>
        <w:pStyle w:val="Listenabsatz"/>
        <w:numPr>
          <w:ilvl w:val="0"/>
          <w:numId w:val="11"/>
        </w:numPr>
        <w:rPr>
          <w:rFonts w:eastAsia="Times New Roman"/>
        </w:rPr>
      </w:pPr>
      <w:r w:rsidRPr="00652505">
        <w:rPr>
          <w:rFonts w:eastAsia="Times New Roman"/>
        </w:rPr>
        <w:lastRenderedPageBreak/>
        <w:t>ein Mitarbeitender</w:t>
      </w:r>
    </w:p>
    <w:p w14:paraId="284FB57B" w14:textId="77777777" w:rsidR="00652505" w:rsidRPr="00E8775A" w:rsidRDefault="00652505" w:rsidP="00652505">
      <w:pPr>
        <w:pStyle w:val="berschrift4"/>
      </w:pPr>
      <w:r w:rsidRPr="00E8775A">
        <w:t>Befugnisse</w:t>
      </w:r>
    </w:p>
    <w:p w14:paraId="14F1ECAE" w14:textId="77777777" w:rsidR="00652505" w:rsidRPr="00E8775A" w:rsidRDefault="00652505" w:rsidP="00652505">
      <w:r w:rsidRPr="00E8775A">
        <w:t xml:space="preserve">Das Informationssicherheitsmanagementteam fungiert als Steuerungs- und Abstimmungsinstanz der </w:t>
      </w:r>
      <w:r w:rsidRPr="00E8775A">
        <w:rPr>
          <w:highlight w:val="yellow"/>
        </w:rPr>
        <w:t>&lt;Institution&gt;</w:t>
      </w:r>
      <w:r w:rsidRPr="00E8775A">
        <w:t xml:space="preserve">, um sicherheitsrelevante Themen strategisch zu entwickeln und optimal verwalten zu können. Dabei übernehmen die Gremium-Teilnehmer die Kommunikation für zuständige Segmente und nutzen zur Verfügung stehende Ressourcen, wodurch Informationssicherheitsthemen begünstigt werden. Das Informationssicherheitsmanagementteam trägt dazu bei, die bestehende Sicherheitskultur der </w:t>
      </w:r>
      <w:r w:rsidRPr="00E8775A">
        <w:rPr>
          <w:highlight w:val="yellow"/>
        </w:rPr>
        <w:t>&lt;Institution&gt;</w:t>
      </w:r>
      <w:r w:rsidRPr="00E8775A">
        <w:t xml:space="preserve"> zu fördern.</w:t>
      </w:r>
    </w:p>
    <w:p w14:paraId="5F5F5BA4" w14:textId="5B1D298C" w:rsidR="00E42A14" w:rsidRPr="006B0BDE" w:rsidRDefault="00E42A14" w:rsidP="00652505"/>
    <w:sectPr w:rsidR="00E42A14" w:rsidRPr="006B0BDE" w:rsidSect="005908F9">
      <w:footerReference w:type="default" r:id="rId9"/>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69A9" w14:textId="77777777" w:rsidR="00D1118E" w:rsidRDefault="00D1118E" w:rsidP="00845F6F">
      <w:r>
        <w:separator/>
      </w:r>
    </w:p>
  </w:endnote>
  <w:endnote w:type="continuationSeparator" w:id="0">
    <w:p w14:paraId="26E7EB51" w14:textId="77777777" w:rsidR="00D1118E" w:rsidRDefault="00D1118E"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A1F29D8" w:rsidR="004C1597" w:rsidRPr="00CD200D" w:rsidRDefault="00CC238C" w:rsidP="00845F6F">
            <w:pPr>
              <w:pStyle w:val="Fuzeile"/>
            </w:pPr>
            <w:r>
              <w:t>Standards</w:t>
            </w:r>
            <w:r w:rsidR="004C1597" w:rsidRPr="00CD200D">
              <w:tab/>
            </w:r>
            <w:r w:rsidR="004C1597" w:rsidRPr="00CD200D">
              <w:rPr>
                <w:color w:val="FF0000"/>
                <w:sz w:val="32"/>
                <w:szCs w:val="32"/>
              </w:rPr>
              <w:t xml:space="preserve">- </w:t>
            </w:r>
            <w:r w:rsidR="00CD200D" w:rsidRPr="00CD200D">
              <w:rPr>
                <w:color w:val="FF0000"/>
                <w:sz w:val="32"/>
                <w:szCs w:val="32"/>
              </w:rPr>
              <w:t>intern</w:t>
            </w:r>
            <w:r w:rsidR="004C1597" w:rsidRPr="00CD200D">
              <w:rPr>
                <w:color w:val="FF0000"/>
                <w:sz w:val="32"/>
                <w:szCs w:val="32"/>
              </w:rPr>
              <w:t xml:space="preserve"> -</w:t>
            </w:r>
            <w:r w:rsidR="004C1597" w:rsidRPr="00CD200D">
              <w:tab/>
              <w:t xml:space="preserve">Seite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3F94" w14:textId="77777777" w:rsidR="00D1118E" w:rsidRDefault="00D1118E" w:rsidP="00845F6F">
      <w:r>
        <w:separator/>
      </w:r>
    </w:p>
  </w:footnote>
  <w:footnote w:type="continuationSeparator" w:id="0">
    <w:p w14:paraId="23560BDB" w14:textId="77777777" w:rsidR="00D1118E" w:rsidRDefault="00D1118E"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67DE"/>
    <w:multiLevelType w:val="multilevel"/>
    <w:tmpl w:val="1E74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6213F"/>
    <w:multiLevelType w:val="multilevel"/>
    <w:tmpl w:val="2A4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E1761"/>
    <w:multiLevelType w:val="multilevel"/>
    <w:tmpl w:val="2D68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A3044"/>
    <w:multiLevelType w:val="multilevel"/>
    <w:tmpl w:val="9BCC9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A1AF0"/>
    <w:multiLevelType w:val="multilevel"/>
    <w:tmpl w:val="2E10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45C18"/>
    <w:multiLevelType w:val="multilevel"/>
    <w:tmpl w:val="87A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F1B2D"/>
    <w:multiLevelType w:val="multilevel"/>
    <w:tmpl w:val="728A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12666"/>
    <w:multiLevelType w:val="multilevel"/>
    <w:tmpl w:val="A07C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84E27"/>
    <w:multiLevelType w:val="multilevel"/>
    <w:tmpl w:val="FE4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40ED9"/>
    <w:multiLevelType w:val="multilevel"/>
    <w:tmpl w:val="AE4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B1281"/>
    <w:multiLevelType w:val="multilevel"/>
    <w:tmpl w:val="0854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10"/>
  </w:num>
  <w:num w:numId="7">
    <w:abstractNumId w:val="8"/>
  </w:num>
  <w:num w:numId="8">
    <w:abstractNumId w:val="9"/>
  </w:num>
  <w:num w:numId="9">
    <w:abstractNumId w:val="11"/>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C3193"/>
    <w:rsid w:val="000F54B1"/>
    <w:rsid w:val="00170895"/>
    <w:rsid w:val="001C7B24"/>
    <w:rsid w:val="00237ECF"/>
    <w:rsid w:val="002B2257"/>
    <w:rsid w:val="00385015"/>
    <w:rsid w:val="00487E8F"/>
    <w:rsid w:val="004B168A"/>
    <w:rsid w:val="004B6255"/>
    <w:rsid w:val="004C1597"/>
    <w:rsid w:val="00512A54"/>
    <w:rsid w:val="00517291"/>
    <w:rsid w:val="005908F9"/>
    <w:rsid w:val="005A70D1"/>
    <w:rsid w:val="00652505"/>
    <w:rsid w:val="00692D88"/>
    <w:rsid w:val="006B0BDE"/>
    <w:rsid w:val="0073083A"/>
    <w:rsid w:val="007D134F"/>
    <w:rsid w:val="00845F6F"/>
    <w:rsid w:val="00964E12"/>
    <w:rsid w:val="009D5026"/>
    <w:rsid w:val="00CC238C"/>
    <w:rsid w:val="00CD200D"/>
    <w:rsid w:val="00D1118E"/>
    <w:rsid w:val="00E42A14"/>
    <w:rsid w:val="00E66380"/>
    <w:rsid w:val="00F256FD"/>
    <w:rsid w:val="00FB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1489</Words>
  <Characters>11546</Characters>
  <Application>Microsoft Office Word</Application>
  <DocSecurity>0</DocSecurity>
  <Lines>481</Lines>
  <Paragraphs>283</Paragraphs>
  <ScaleCrop>false</ScaleCrop>
  <HeadingPairs>
    <vt:vector size="2" baseType="variant">
      <vt:variant>
        <vt:lpstr>Titel</vt:lpstr>
      </vt:variant>
      <vt:variant>
        <vt:i4>1</vt:i4>
      </vt:variant>
    </vt:vector>
  </HeadingPairs>
  <TitlesOfParts>
    <vt:vector size="1" baseType="lpstr">
      <vt:lpstr>Standard "Rollen und Gremien"</vt:lpstr>
    </vt:vector>
  </TitlesOfParts>
  <Manager/>
  <Company/>
  <LinksUpToDate>false</LinksUpToDate>
  <CharactersWithSpaces>12752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"Rollen und Gremien"</dc:title>
  <dc:subject/>
  <dc:creator>Jens Mahnke</dc:creator>
  <cp:keywords/>
  <dc:description/>
  <cp:lastModifiedBy>Jens Mahnke</cp:lastModifiedBy>
  <cp:revision>4</cp:revision>
  <cp:lastPrinted>2021-06-20T07:16:00Z</cp:lastPrinted>
  <dcterms:created xsi:type="dcterms:W3CDTF">2021-06-20T07:16:00Z</dcterms:created>
  <dcterms:modified xsi:type="dcterms:W3CDTF">2021-07-31T16:12:00Z</dcterms:modified>
  <cp:category/>
</cp:coreProperties>
</file>