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EndPr/>
      <w:sdtContent>
        <w:p w14:paraId="264D4725" w14:textId="33F533DF" w:rsidR="00512A54" w:rsidRDefault="00512A54" w:rsidP="00845F6F"/>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14:paraId="69C439B4" w14:textId="77777777" w:rsidTr="00512A54">
            <w:tc>
              <w:tcPr>
                <w:tcW w:w="2977" w:type="dxa"/>
              </w:tcPr>
              <w:p w14:paraId="30B0F234" w14:textId="40EEDE6E" w:rsidR="00512A54" w:rsidRDefault="00512A54" w:rsidP="00845F6F">
                <w:r>
                  <w:t>Version:</w:t>
                </w:r>
              </w:p>
            </w:tc>
            <w:tc>
              <w:tcPr>
                <w:tcW w:w="2794" w:type="dxa"/>
              </w:tcPr>
              <w:p w14:paraId="0F48752F" w14:textId="77777777" w:rsidR="00512A54" w:rsidRDefault="00512A54" w:rsidP="00845F6F">
                <w:r>
                  <w:t>1.0</w:t>
                </w:r>
              </w:p>
            </w:tc>
          </w:tr>
          <w:tr w:rsidR="00E66380" w14:paraId="349F318A" w14:textId="77777777" w:rsidTr="00512A54">
            <w:tc>
              <w:tcPr>
                <w:tcW w:w="2977" w:type="dxa"/>
              </w:tcPr>
              <w:p w14:paraId="27E69FFC" w14:textId="77777777" w:rsidR="00512A54" w:rsidRDefault="00512A54" w:rsidP="00845F6F">
                <w:r>
                  <w:t>Status:</w:t>
                </w:r>
              </w:p>
            </w:tc>
            <w:tc>
              <w:tcPr>
                <w:tcW w:w="2794" w:type="dxa"/>
              </w:tcPr>
              <w:p w14:paraId="5594481C" w14:textId="77777777" w:rsidR="00512A54" w:rsidRDefault="00512A54" w:rsidP="00845F6F">
                <w:r>
                  <w:t>Freigegeben</w:t>
                </w:r>
              </w:p>
            </w:tc>
          </w:tr>
          <w:tr w:rsidR="00E66380" w14:paraId="538E40F7" w14:textId="77777777" w:rsidTr="00512A54">
            <w:tc>
              <w:tcPr>
                <w:tcW w:w="2977" w:type="dxa"/>
              </w:tcPr>
              <w:p w14:paraId="5A3C4D07" w14:textId="77777777" w:rsidR="00512A54" w:rsidRDefault="00512A54" w:rsidP="00845F6F">
                <w:r>
                  <w:t>Dokumentenklassifizierung:</w:t>
                </w:r>
              </w:p>
            </w:tc>
            <w:tc>
              <w:tcPr>
                <w:tcW w:w="2794" w:type="dxa"/>
              </w:tcPr>
              <w:p w14:paraId="5663F3D6" w14:textId="77777777" w:rsidR="00512A54" w:rsidRDefault="00512A54" w:rsidP="00845F6F">
                <w:r>
                  <w:t>intern</w:t>
                </w:r>
              </w:p>
            </w:tc>
          </w:tr>
        </w:tbl>
        <w:p w14:paraId="74F6F389" w14:textId="60D3B6B8" w:rsidR="00512A54" w:rsidRDefault="00E66380" w:rsidP="00845F6F">
          <w:pPr>
            <w:rPr>
              <w:rFonts w:cstheme="minorHAnsi"/>
            </w:rPr>
          </w:pPr>
          <w:r>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22D35A6E" w:rsidR="00512A54" w:rsidRDefault="009418D6">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12A54">
                                      <w:rPr>
                                        <w:caps/>
                                        <w:color w:val="323E4F" w:themeColor="text2" w:themeShade="BF"/>
                                        <w:sz w:val="52"/>
                                        <w:szCs w:val="52"/>
                                      </w:rPr>
                                      <w:t>Leitlinie zur Informationssicherheit</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22D35A6E" w:rsidR="00512A54" w:rsidRDefault="00512A54">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Leitlinie zur Informationssicherheit</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Pr>
              <w:rFonts w:cstheme="minorHAnsi"/>
            </w:rPr>
            <w:br w:type="page"/>
          </w:r>
        </w:p>
      </w:sdtContent>
    </w:sdt>
    <w:p w14:paraId="67065548" w14:textId="006AEC13" w:rsidR="006B0BDE" w:rsidRDefault="006B0BDE" w:rsidP="00845F6F">
      <w:pPr>
        <w:pStyle w:val="1ohneNummer"/>
      </w:pPr>
      <w:bookmarkStart w:id="0" w:name="_Toc74856125"/>
      <w:bookmarkStart w:id="1" w:name="_Toc74995247"/>
      <w:r>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14:paraId="459EFBFE" w14:textId="77777777" w:rsidTr="00E66380">
        <w:trPr>
          <w:trHeight w:val="454"/>
        </w:trPr>
        <w:tc>
          <w:tcPr>
            <w:tcW w:w="2297" w:type="dxa"/>
            <w:shd w:val="clear" w:color="auto" w:fill="BFBFBF" w:themeFill="background1" w:themeFillShade="BF"/>
            <w:vAlign w:val="center"/>
          </w:tcPr>
          <w:p w14:paraId="79029C72" w14:textId="77777777" w:rsidR="006B0BDE" w:rsidRDefault="006B0BDE" w:rsidP="00A5360C">
            <w:pPr>
              <w:pStyle w:val="Tabellenkopf"/>
            </w:pPr>
            <w:r>
              <w:t>Bezeichnung</w:t>
            </w:r>
          </w:p>
        </w:tc>
        <w:tc>
          <w:tcPr>
            <w:tcW w:w="3544" w:type="dxa"/>
            <w:shd w:val="clear" w:color="auto" w:fill="BFBFBF" w:themeFill="background1" w:themeFillShade="BF"/>
            <w:vAlign w:val="center"/>
          </w:tcPr>
          <w:p w14:paraId="7438B3D4" w14:textId="77777777" w:rsidR="006B0BDE" w:rsidRDefault="006B0BDE" w:rsidP="00A5360C">
            <w:pPr>
              <w:pStyle w:val="Tabellenkopf"/>
            </w:pPr>
            <w:r>
              <w:t>Inhalt</w:t>
            </w:r>
          </w:p>
        </w:tc>
        <w:tc>
          <w:tcPr>
            <w:tcW w:w="3515" w:type="dxa"/>
            <w:shd w:val="clear" w:color="auto" w:fill="BFBFBF" w:themeFill="background1" w:themeFillShade="BF"/>
            <w:vAlign w:val="center"/>
          </w:tcPr>
          <w:p w14:paraId="3E57B3F1" w14:textId="77777777" w:rsidR="006B0BDE" w:rsidRDefault="006B0BDE" w:rsidP="00A5360C">
            <w:pPr>
              <w:pStyle w:val="Tabellenkopf"/>
            </w:pPr>
            <w:r>
              <w:t>Bearbeitungshinweis</w:t>
            </w:r>
          </w:p>
        </w:tc>
      </w:tr>
      <w:tr w:rsidR="006B0BDE" w14:paraId="79E42E66" w14:textId="77777777" w:rsidTr="00E66380">
        <w:trPr>
          <w:trHeight w:val="454"/>
        </w:trPr>
        <w:tc>
          <w:tcPr>
            <w:tcW w:w="2297" w:type="dxa"/>
            <w:vAlign w:val="center"/>
          </w:tcPr>
          <w:p w14:paraId="7F361823" w14:textId="77777777" w:rsidR="006B0BDE" w:rsidRPr="00E66380" w:rsidRDefault="006B0BDE" w:rsidP="00A5360C">
            <w:pPr>
              <w:pStyle w:val="TabellenInhalt"/>
            </w:pPr>
            <w:r w:rsidRPr="00E66380">
              <w:t>Eigentümer</w:t>
            </w:r>
          </w:p>
        </w:tc>
        <w:tc>
          <w:tcPr>
            <w:tcW w:w="3544" w:type="dxa"/>
            <w:vAlign w:val="center"/>
          </w:tcPr>
          <w:p w14:paraId="5948E0E3" w14:textId="6B50E13B" w:rsidR="006B0BDE" w:rsidRPr="00E66380" w:rsidRDefault="006B0BDE" w:rsidP="00A5360C">
            <w:pPr>
              <w:pStyle w:val="TabellenInhalt"/>
            </w:pPr>
          </w:p>
        </w:tc>
        <w:tc>
          <w:tcPr>
            <w:tcW w:w="3515" w:type="dxa"/>
            <w:vAlign w:val="center"/>
          </w:tcPr>
          <w:p w14:paraId="5BE84D23" w14:textId="77777777" w:rsidR="006B0BDE" w:rsidRDefault="006B0BDE" w:rsidP="00A5360C">
            <w:pPr>
              <w:pStyle w:val="TabellenInhalt"/>
            </w:pPr>
            <w:r>
              <w:t>[verantwortlich für die Erstellung und Pflege des Dokuments = Abteilungsleitung]</w:t>
            </w:r>
          </w:p>
        </w:tc>
      </w:tr>
      <w:tr w:rsidR="006B0BDE" w14:paraId="15811496" w14:textId="77777777" w:rsidTr="00E66380">
        <w:trPr>
          <w:trHeight w:val="454"/>
        </w:trPr>
        <w:tc>
          <w:tcPr>
            <w:tcW w:w="2297" w:type="dxa"/>
            <w:vAlign w:val="center"/>
          </w:tcPr>
          <w:p w14:paraId="41D4F478" w14:textId="77777777" w:rsidR="006B0BDE" w:rsidRPr="00E66380" w:rsidRDefault="006B0BDE" w:rsidP="00A5360C">
            <w:pPr>
              <w:pStyle w:val="TabellenInhalt"/>
            </w:pPr>
            <w:r w:rsidRPr="00E66380">
              <w:t>Autor</w:t>
            </w:r>
          </w:p>
        </w:tc>
        <w:tc>
          <w:tcPr>
            <w:tcW w:w="3544" w:type="dxa"/>
            <w:vAlign w:val="center"/>
          </w:tcPr>
          <w:p w14:paraId="21B36B59" w14:textId="18DD7E9C" w:rsidR="006B0BDE" w:rsidRPr="00E66380" w:rsidRDefault="006B0BDE" w:rsidP="00A5360C">
            <w:pPr>
              <w:pStyle w:val="TabellenInhalt"/>
            </w:pPr>
          </w:p>
        </w:tc>
        <w:tc>
          <w:tcPr>
            <w:tcW w:w="3515" w:type="dxa"/>
            <w:vAlign w:val="center"/>
          </w:tcPr>
          <w:p w14:paraId="7B2A014E" w14:textId="77777777" w:rsidR="006B0BDE" w:rsidRDefault="006B0BDE" w:rsidP="00A5360C">
            <w:pPr>
              <w:pStyle w:val="TabellenInhalt"/>
            </w:pPr>
            <w:r>
              <w:t>[operative Verantwortung für das Dokument]</w:t>
            </w:r>
          </w:p>
        </w:tc>
      </w:tr>
      <w:tr w:rsidR="006B0BDE" w14:paraId="73BE473F" w14:textId="77777777" w:rsidTr="00E66380">
        <w:trPr>
          <w:trHeight w:val="454"/>
        </w:trPr>
        <w:tc>
          <w:tcPr>
            <w:tcW w:w="2297" w:type="dxa"/>
            <w:vAlign w:val="center"/>
          </w:tcPr>
          <w:p w14:paraId="13FF6CBA" w14:textId="77777777" w:rsidR="006B0BDE" w:rsidRPr="00E66380" w:rsidRDefault="006B0BDE" w:rsidP="00A5360C">
            <w:pPr>
              <w:pStyle w:val="TabellenInhalt"/>
            </w:pPr>
            <w:r w:rsidRPr="00E66380">
              <w:t>Status</w:t>
            </w:r>
          </w:p>
        </w:tc>
        <w:tc>
          <w:tcPr>
            <w:tcW w:w="3544" w:type="dxa"/>
            <w:vAlign w:val="center"/>
          </w:tcPr>
          <w:p w14:paraId="48FAD1D1" w14:textId="37D791CF" w:rsidR="006B0BDE" w:rsidRPr="00E66380" w:rsidRDefault="006B0BDE" w:rsidP="00A5360C">
            <w:pPr>
              <w:pStyle w:val="TabellenInhalt"/>
            </w:pPr>
            <w:r w:rsidRPr="00E66380">
              <w:t>Freigegeben</w:t>
            </w:r>
          </w:p>
        </w:tc>
        <w:tc>
          <w:tcPr>
            <w:tcW w:w="3515" w:type="dxa"/>
            <w:vAlign w:val="center"/>
          </w:tcPr>
          <w:p w14:paraId="59502C3F" w14:textId="77777777" w:rsidR="006B0BDE" w:rsidRDefault="006B0BDE" w:rsidP="00A5360C">
            <w:pPr>
              <w:pStyle w:val="TabellenInhalt"/>
            </w:pPr>
            <w:r>
              <w:t>[Einstufung des aktuellen Dokumentenstatus &lt;Entwurf, Finaler Entwurf, Final/Freigegeben&gt;]</w:t>
            </w:r>
          </w:p>
        </w:tc>
      </w:tr>
      <w:tr w:rsidR="006B0BDE" w14:paraId="0AF82BC0" w14:textId="77777777" w:rsidTr="00E66380">
        <w:trPr>
          <w:trHeight w:val="454"/>
        </w:trPr>
        <w:tc>
          <w:tcPr>
            <w:tcW w:w="2297" w:type="dxa"/>
            <w:vAlign w:val="center"/>
          </w:tcPr>
          <w:p w14:paraId="65C03E56" w14:textId="64018EE2" w:rsidR="006B0BDE" w:rsidRPr="00E66380" w:rsidRDefault="006B0BDE" w:rsidP="00A5360C">
            <w:pPr>
              <w:pStyle w:val="TabellenInhalt"/>
            </w:pPr>
            <w:r w:rsidRPr="00E66380">
              <w:t>Klassifizierung</w:t>
            </w:r>
          </w:p>
        </w:tc>
        <w:tc>
          <w:tcPr>
            <w:tcW w:w="3544" w:type="dxa"/>
            <w:vAlign w:val="center"/>
          </w:tcPr>
          <w:p w14:paraId="1B244C3A" w14:textId="64DA9FC6" w:rsidR="006B0BDE" w:rsidRPr="00E66380" w:rsidRDefault="006B0BDE" w:rsidP="00A5360C">
            <w:pPr>
              <w:pStyle w:val="TabellenInhalt"/>
            </w:pPr>
            <w:r w:rsidRPr="00E66380">
              <w:t>intern</w:t>
            </w:r>
          </w:p>
        </w:tc>
        <w:tc>
          <w:tcPr>
            <w:tcW w:w="3515" w:type="dxa"/>
            <w:vAlign w:val="center"/>
          </w:tcPr>
          <w:p w14:paraId="5A8CFE86" w14:textId="77777777" w:rsidR="006B0BDE" w:rsidRDefault="006B0BDE" w:rsidP="00A5360C">
            <w:pPr>
              <w:pStyle w:val="TabellenInhalt"/>
            </w:pPr>
            <w:r>
              <w:t>[Einstufung der Dokumentenvertraulichkeit</w:t>
            </w:r>
          </w:p>
          <w:p w14:paraId="6E0D3005" w14:textId="77777777" w:rsidR="006B0BDE" w:rsidRDefault="006B0BDE" w:rsidP="00A5360C">
            <w:pPr>
              <w:pStyle w:val="TabellenInhalt"/>
            </w:pPr>
            <w:r>
              <w:t>offen, intern, vertraulich, streng vertraulich]</w:t>
            </w:r>
          </w:p>
        </w:tc>
      </w:tr>
      <w:tr w:rsidR="006B0BDE" w14:paraId="7833F1E4" w14:textId="77777777" w:rsidTr="00E66380">
        <w:trPr>
          <w:trHeight w:val="454"/>
        </w:trPr>
        <w:tc>
          <w:tcPr>
            <w:tcW w:w="2297" w:type="dxa"/>
            <w:vAlign w:val="center"/>
          </w:tcPr>
          <w:p w14:paraId="6DB32902" w14:textId="77777777" w:rsidR="006B0BDE" w:rsidRPr="00E66380" w:rsidRDefault="006B0BDE" w:rsidP="00A5360C">
            <w:pPr>
              <w:pStyle w:val="TabellenInhalt"/>
            </w:pPr>
            <w:r w:rsidRPr="00E66380">
              <w:t>Dokumen</w:t>
            </w:r>
            <w:r w:rsidRPr="00E66380">
              <w:softHyphen/>
              <w:t>tenkennung</w:t>
            </w:r>
          </w:p>
        </w:tc>
        <w:tc>
          <w:tcPr>
            <w:tcW w:w="3544" w:type="dxa"/>
            <w:vAlign w:val="center"/>
          </w:tcPr>
          <w:p w14:paraId="0D391DC7" w14:textId="7CD7A644" w:rsidR="006B0BDE" w:rsidRPr="00E66380" w:rsidRDefault="006B0BDE" w:rsidP="00A5360C">
            <w:pPr>
              <w:pStyle w:val="TabellenInhalt"/>
            </w:pPr>
            <w:r w:rsidRPr="00E66380">
              <w:t>ISMS100001</w:t>
            </w:r>
          </w:p>
        </w:tc>
        <w:tc>
          <w:tcPr>
            <w:tcW w:w="3515" w:type="dxa"/>
            <w:vAlign w:val="center"/>
          </w:tcPr>
          <w:p w14:paraId="63380C12" w14:textId="084F7145" w:rsidR="006B0BDE" w:rsidRDefault="006B0BDE" w:rsidP="00A5360C">
            <w:pPr>
              <w:pStyle w:val="TabellenInhalt"/>
            </w:pPr>
            <w:r>
              <w:t>[Die Dokumenten-Kennung wird von der Dokumentenlenkung vergeben]</w:t>
            </w:r>
          </w:p>
        </w:tc>
      </w:tr>
      <w:tr w:rsidR="006B0BDE" w14:paraId="31E82E84" w14:textId="77777777" w:rsidTr="00E66380">
        <w:trPr>
          <w:trHeight w:val="454"/>
        </w:trPr>
        <w:tc>
          <w:tcPr>
            <w:tcW w:w="2297" w:type="dxa"/>
            <w:vAlign w:val="center"/>
          </w:tcPr>
          <w:p w14:paraId="7BD3B27B" w14:textId="77777777" w:rsidR="006B0BDE" w:rsidRPr="00E66380" w:rsidRDefault="006B0BDE" w:rsidP="00A5360C">
            <w:pPr>
              <w:pStyle w:val="TabellenInhalt"/>
            </w:pPr>
            <w:r w:rsidRPr="00E66380">
              <w:t>Name des Dokuments</w:t>
            </w:r>
          </w:p>
        </w:tc>
        <w:tc>
          <w:tcPr>
            <w:tcW w:w="3544" w:type="dxa"/>
            <w:vAlign w:val="center"/>
          </w:tcPr>
          <w:p w14:paraId="0373263A" w14:textId="0E983653" w:rsidR="006B0BDE" w:rsidRPr="00E66380" w:rsidRDefault="009418D6" w:rsidP="00A5360C">
            <w:pPr>
              <w:pStyle w:val="TabellenInhalt"/>
            </w:pPr>
            <w:r>
              <w:fldChar w:fldCharType="begin"/>
            </w:r>
            <w:r>
              <w:instrText xml:space="preserve"> DOCPROPERTY  Title  \* MERGEFORMAT </w:instrText>
            </w:r>
            <w:r>
              <w:fldChar w:fldCharType="separate"/>
            </w:r>
            <w:r w:rsidR="006B0BDE" w:rsidRPr="00E66380">
              <w:t>Leitlinie zur Informationssicherheit</w:t>
            </w:r>
            <w:r>
              <w:fldChar w:fldCharType="end"/>
            </w:r>
          </w:p>
        </w:tc>
        <w:tc>
          <w:tcPr>
            <w:tcW w:w="3515" w:type="dxa"/>
            <w:vAlign w:val="center"/>
          </w:tcPr>
          <w:p w14:paraId="738E3730" w14:textId="77777777" w:rsidR="006B0BDE" w:rsidRDefault="006B0BDE" w:rsidP="00A5360C">
            <w:pPr>
              <w:pStyle w:val="TabellenInhalt"/>
            </w:pPr>
            <w:r>
              <w:t>[Bezeichnung des Dokuments wie auf dem Titelblatt beschrieben.]</w:t>
            </w:r>
          </w:p>
        </w:tc>
      </w:tr>
      <w:tr w:rsidR="006B0BDE" w14:paraId="350BC4D0" w14:textId="77777777" w:rsidTr="00E66380">
        <w:trPr>
          <w:trHeight w:val="454"/>
        </w:trPr>
        <w:tc>
          <w:tcPr>
            <w:tcW w:w="2297" w:type="dxa"/>
            <w:vAlign w:val="center"/>
          </w:tcPr>
          <w:p w14:paraId="334D3E05" w14:textId="77777777" w:rsidR="006B0BDE" w:rsidRPr="00E66380" w:rsidRDefault="006B0BDE" w:rsidP="00A5360C">
            <w:pPr>
              <w:pStyle w:val="TabellenInhalt"/>
            </w:pPr>
            <w:r w:rsidRPr="00E66380">
              <w:t xml:space="preserve">Version </w:t>
            </w:r>
          </w:p>
        </w:tc>
        <w:tc>
          <w:tcPr>
            <w:tcW w:w="3544" w:type="dxa"/>
            <w:vAlign w:val="center"/>
          </w:tcPr>
          <w:p w14:paraId="355104E8" w14:textId="3CB2B161" w:rsidR="006B0BDE" w:rsidRPr="00E66380" w:rsidRDefault="006B0BDE" w:rsidP="00A5360C">
            <w:pPr>
              <w:pStyle w:val="TabellenInhalt"/>
            </w:pPr>
            <w:r w:rsidRPr="00E66380">
              <w:t>1.0</w:t>
            </w:r>
          </w:p>
        </w:tc>
        <w:tc>
          <w:tcPr>
            <w:tcW w:w="3515" w:type="dxa"/>
            <w:vAlign w:val="center"/>
          </w:tcPr>
          <w:p w14:paraId="00360FE0" w14:textId="77777777" w:rsidR="006B0BDE" w:rsidRDefault="006B0BDE" w:rsidP="00A5360C">
            <w:pPr>
              <w:pStyle w:val="TabellenInhalt"/>
            </w:pPr>
            <w:r>
              <w:t>[zweistellige Versionsnummer]</w:t>
            </w:r>
          </w:p>
        </w:tc>
      </w:tr>
      <w:tr w:rsidR="006B0BDE" w14:paraId="2D9F1385" w14:textId="77777777" w:rsidTr="00E66380">
        <w:trPr>
          <w:trHeight w:val="454"/>
        </w:trPr>
        <w:tc>
          <w:tcPr>
            <w:tcW w:w="2297" w:type="dxa"/>
            <w:vAlign w:val="center"/>
          </w:tcPr>
          <w:p w14:paraId="1F8A417F" w14:textId="77777777" w:rsidR="006B0BDE" w:rsidRPr="00E66380" w:rsidRDefault="006B0BDE" w:rsidP="00A5360C">
            <w:pPr>
              <w:pStyle w:val="TabellenInhalt"/>
            </w:pPr>
            <w:r w:rsidRPr="00E66380">
              <w:t>Veröffentlichungsform</w:t>
            </w:r>
          </w:p>
        </w:tc>
        <w:tc>
          <w:tcPr>
            <w:tcW w:w="3544" w:type="dxa"/>
            <w:vAlign w:val="center"/>
          </w:tcPr>
          <w:p w14:paraId="15FF7683" w14:textId="0B94A99B" w:rsidR="006B0BDE" w:rsidRPr="00E66380" w:rsidRDefault="006B0BDE" w:rsidP="00A5360C">
            <w:pPr>
              <w:pStyle w:val="TabellenInhalt"/>
            </w:pPr>
            <w:r w:rsidRPr="00E66380">
              <w:t>digital</w:t>
            </w:r>
          </w:p>
        </w:tc>
        <w:tc>
          <w:tcPr>
            <w:tcW w:w="3515" w:type="dxa"/>
            <w:vAlign w:val="center"/>
          </w:tcPr>
          <w:p w14:paraId="04723D1C" w14:textId="77777777" w:rsidR="006B0BDE" w:rsidRDefault="006B0BDE" w:rsidP="00A5360C">
            <w:pPr>
              <w:pStyle w:val="TabellenInhalt"/>
            </w:pPr>
            <w:r>
              <w:t>[Veröffentlichungsform Papier, digital]</w:t>
            </w:r>
          </w:p>
        </w:tc>
      </w:tr>
      <w:tr w:rsidR="006B0BDE" w14:paraId="44AABD35" w14:textId="77777777" w:rsidTr="00E66380">
        <w:trPr>
          <w:trHeight w:val="454"/>
        </w:trPr>
        <w:tc>
          <w:tcPr>
            <w:tcW w:w="2297" w:type="dxa"/>
            <w:vAlign w:val="center"/>
          </w:tcPr>
          <w:p w14:paraId="4ABC9F92" w14:textId="77777777" w:rsidR="006B0BDE" w:rsidRPr="00E66380" w:rsidRDefault="006B0BDE" w:rsidP="00A5360C">
            <w:pPr>
              <w:pStyle w:val="TabellenInhalt"/>
            </w:pPr>
            <w:r w:rsidRPr="00E66380">
              <w:t>Speicherort</w:t>
            </w:r>
          </w:p>
        </w:tc>
        <w:tc>
          <w:tcPr>
            <w:tcW w:w="3544" w:type="dxa"/>
            <w:vAlign w:val="center"/>
          </w:tcPr>
          <w:p w14:paraId="41427E1A" w14:textId="64061B6B" w:rsidR="006B0BDE" w:rsidRPr="00E66380" w:rsidRDefault="006B0BDE" w:rsidP="00A5360C">
            <w:pPr>
              <w:pStyle w:val="TabellenInhalt"/>
            </w:pPr>
          </w:p>
        </w:tc>
        <w:tc>
          <w:tcPr>
            <w:tcW w:w="3515" w:type="dxa"/>
            <w:vAlign w:val="center"/>
          </w:tcPr>
          <w:p w14:paraId="2EEC9206" w14:textId="77777777" w:rsidR="006B0BDE" w:rsidRDefault="006B0BDE" w:rsidP="00A5360C">
            <w:pPr>
              <w:pStyle w:val="TabellenInhalt"/>
            </w:pPr>
            <w:r>
              <w:t>[Ablageort des Dokumentes]</w:t>
            </w:r>
          </w:p>
        </w:tc>
      </w:tr>
      <w:tr w:rsidR="006B0BDE" w14:paraId="34BB63AF" w14:textId="77777777" w:rsidTr="00E66380">
        <w:trPr>
          <w:trHeight w:val="454"/>
        </w:trPr>
        <w:tc>
          <w:tcPr>
            <w:tcW w:w="2297" w:type="dxa"/>
            <w:vAlign w:val="center"/>
          </w:tcPr>
          <w:p w14:paraId="6529699A" w14:textId="77777777" w:rsidR="006B0BDE" w:rsidRPr="00E66380" w:rsidRDefault="006B0BDE" w:rsidP="00A5360C">
            <w:pPr>
              <w:pStyle w:val="TabellenInhalt"/>
            </w:pPr>
            <w:r w:rsidRPr="00E66380">
              <w:t>Freigabe am</w:t>
            </w:r>
          </w:p>
        </w:tc>
        <w:tc>
          <w:tcPr>
            <w:tcW w:w="3544" w:type="dxa"/>
            <w:vAlign w:val="center"/>
          </w:tcPr>
          <w:p w14:paraId="00C52080" w14:textId="77777777" w:rsidR="006B0BDE" w:rsidRPr="00E66380" w:rsidRDefault="006B0BDE" w:rsidP="00A5360C">
            <w:pPr>
              <w:pStyle w:val="TabellenInhalt"/>
            </w:pPr>
            <w:r w:rsidRPr="00E66380">
              <w:t>&lt;TT.MM.YYYY&gt;</w:t>
            </w:r>
          </w:p>
        </w:tc>
        <w:tc>
          <w:tcPr>
            <w:tcW w:w="3515" w:type="dxa"/>
            <w:vAlign w:val="center"/>
          </w:tcPr>
          <w:p w14:paraId="257C8307" w14:textId="77777777" w:rsidR="006B0BDE" w:rsidRDefault="006B0BDE" w:rsidP="00A5360C">
            <w:pPr>
              <w:pStyle w:val="TabellenInhalt"/>
            </w:pPr>
            <w:r>
              <w:t>[Datum der Freigabe durch den Eigentümer]</w:t>
            </w:r>
          </w:p>
        </w:tc>
      </w:tr>
      <w:tr w:rsidR="006B0BDE" w14:paraId="0279C13D" w14:textId="77777777" w:rsidTr="00E66380">
        <w:trPr>
          <w:trHeight w:val="454"/>
        </w:trPr>
        <w:tc>
          <w:tcPr>
            <w:tcW w:w="2297" w:type="dxa"/>
            <w:vAlign w:val="center"/>
          </w:tcPr>
          <w:p w14:paraId="4D3F5B70" w14:textId="4696058D" w:rsidR="006B0BDE" w:rsidRPr="00E66380" w:rsidRDefault="006B0BDE" w:rsidP="00A5360C">
            <w:pPr>
              <w:pStyle w:val="TabellenInhalt"/>
            </w:pPr>
            <w:r w:rsidRPr="00E66380">
              <w:t>Freigabe bis</w:t>
            </w:r>
          </w:p>
        </w:tc>
        <w:tc>
          <w:tcPr>
            <w:tcW w:w="3544" w:type="dxa"/>
            <w:vAlign w:val="center"/>
          </w:tcPr>
          <w:p w14:paraId="12A3BC3F" w14:textId="04E7D000" w:rsidR="006B0BDE" w:rsidRPr="00E66380" w:rsidRDefault="006B0BDE" w:rsidP="00A5360C">
            <w:pPr>
              <w:pStyle w:val="TabellenInhalt"/>
            </w:pPr>
            <w:r w:rsidRPr="00E66380">
              <w:t>&lt;TT.MM.YYYY&gt;</w:t>
            </w:r>
          </w:p>
        </w:tc>
        <w:tc>
          <w:tcPr>
            <w:tcW w:w="3515" w:type="dxa"/>
            <w:vAlign w:val="center"/>
          </w:tcPr>
          <w:p w14:paraId="2E796739" w14:textId="5EBD5A0D" w:rsidR="006B0BDE" w:rsidRDefault="006B0BDE" w:rsidP="00A5360C">
            <w:pPr>
              <w:pStyle w:val="TabellenInhalt"/>
            </w:pPr>
            <w:r>
              <w:t>[Datum der Freigabe bis durch den Eigentümer]</w:t>
            </w:r>
          </w:p>
        </w:tc>
      </w:tr>
      <w:tr w:rsidR="006B0BDE" w14:paraId="02D9A14E" w14:textId="77777777" w:rsidTr="00E66380">
        <w:trPr>
          <w:trHeight w:val="454"/>
        </w:trPr>
        <w:tc>
          <w:tcPr>
            <w:tcW w:w="2297" w:type="dxa"/>
            <w:vAlign w:val="center"/>
          </w:tcPr>
          <w:p w14:paraId="13EC0223" w14:textId="77777777" w:rsidR="006B0BDE" w:rsidRPr="00E66380" w:rsidRDefault="006B0BDE" w:rsidP="00A5360C">
            <w:pPr>
              <w:pStyle w:val="TabellenInhalt"/>
            </w:pPr>
            <w:r w:rsidRPr="00E66380">
              <w:t>Revisionszyklus</w:t>
            </w:r>
          </w:p>
        </w:tc>
        <w:tc>
          <w:tcPr>
            <w:tcW w:w="3544" w:type="dxa"/>
            <w:vAlign w:val="center"/>
          </w:tcPr>
          <w:p w14:paraId="601AB478" w14:textId="3BD9B7D7" w:rsidR="006B0BDE" w:rsidRPr="00E66380" w:rsidRDefault="006B0BDE" w:rsidP="00A5360C">
            <w:pPr>
              <w:pStyle w:val="TabellenInhalt"/>
            </w:pPr>
            <w:r w:rsidRPr="00E66380">
              <w:t>Alle zwei Jahre</w:t>
            </w:r>
          </w:p>
        </w:tc>
        <w:tc>
          <w:tcPr>
            <w:tcW w:w="3515" w:type="dxa"/>
            <w:vAlign w:val="center"/>
          </w:tcPr>
          <w:p w14:paraId="7B8A472E" w14:textId="77777777" w:rsidR="006B0BDE" w:rsidRDefault="006B0BDE" w:rsidP="00A5360C">
            <w:pPr>
              <w:pStyle w:val="TabellenInhalt"/>
            </w:pPr>
            <w:r>
              <w:t>[Revisionszyklus alle 1, 2 Jahre]</w:t>
            </w:r>
          </w:p>
        </w:tc>
      </w:tr>
      <w:tr w:rsidR="006B0BDE" w14:paraId="63055DF3" w14:textId="77777777" w:rsidTr="00E66380">
        <w:trPr>
          <w:trHeight w:val="454"/>
        </w:trPr>
        <w:tc>
          <w:tcPr>
            <w:tcW w:w="2297" w:type="dxa"/>
            <w:vAlign w:val="center"/>
          </w:tcPr>
          <w:p w14:paraId="720DEEE5" w14:textId="77777777" w:rsidR="006B0BDE" w:rsidRPr="00E66380" w:rsidRDefault="006B0BDE" w:rsidP="00A5360C">
            <w:pPr>
              <w:pStyle w:val="TabellenInhalt"/>
            </w:pPr>
            <w:r w:rsidRPr="00E66380">
              <w:t>Archivierungszeitraum</w:t>
            </w:r>
          </w:p>
        </w:tc>
        <w:tc>
          <w:tcPr>
            <w:tcW w:w="3544" w:type="dxa"/>
            <w:vAlign w:val="center"/>
          </w:tcPr>
          <w:p w14:paraId="1B92C4ED" w14:textId="5F164420" w:rsidR="006B0BDE" w:rsidRPr="00E66380" w:rsidRDefault="006B0BDE" w:rsidP="00A5360C">
            <w:pPr>
              <w:pStyle w:val="TabellenInhalt"/>
            </w:pPr>
            <w:r w:rsidRPr="00E66380">
              <w:t>10 Jahre</w:t>
            </w:r>
          </w:p>
        </w:tc>
        <w:tc>
          <w:tcPr>
            <w:tcW w:w="3515" w:type="dxa"/>
            <w:vAlign w:val="center"/>
          </w:tcPr>
          <w:p w14:paraId="68997AB5" w14:textId="77777777" w:rsidR="006B0BDE" w:rsidRDefault="006B0BDE" w:rsidP="00A5360C">
            <w:pPr>
              <w:pStyle w:val="TabellenInhalt"/>
            </w:pPr>
            <w:r>
              <w:t>[Archivierungszeitraum nach Ablauf 5, 10 Jahre]</w:t>
            </w:r>
          </w:p>
        </w:tc>
      </w:tr>
    </w:tbl>
    <w:p w14:paraId="5FF21834" w14:textId="77777777" w:rsidR="006B0BDE" w:rsidRDefault="006B0BDE" w:rsidP="00845F6F"/>
    <w:p w14:paraId="3E29EFA5" w14:textId="77777777" w:rsidR="00A5360C" w:rsidRDefault="00A5360C" w:rsidP="00845F6F"/>
    <w:p w14:paraId="65070BB9" w14:textId="5A59B2B7" w:rsidR="00A5360C" w:rsidRDefault="00A5360C" w:rsidP="00845F6F">
      <w:pPr>
        <w:sectPr w:rsidR="00A5360C" w:rsidSect="00073B67">
          <w:footerReference w:type="default" r:id="rId9"/>
          <w:type w:val="continuous"/>
          <w:pgSz w:w="11906" w:h="16838"/>
          <w:pgMar w:top="1440" w:right="1440" w:bottom="1440" w:left="1440" w:header="720" w:footer="720" w:gutter="0"/>
          <w:cols w:space="708"/>
          <w:docGrid w:linePitch="360"/>
        </w:sectPr>
      </w:pPr>
    </w:p>
    <w:p w14:paraId="35A34835" w14:textId="77777777" w:rsidR="000F54B1" w:rsidRPr="006B0BDE" w:rsidRDefault="000F54B1" w:rsidP="00845F6F">
      <w:pPr>
        <w:pStyle w:val="berschrift1"/>
      </w:pPr>
      <w:bookmarkStart w:id="2" w:name="_Toc55125667"/>
      <w:bookmarkStart w:id="3" w:name="_Toc74856126"/>
      <w:bookmarkStart w:id="4" w:name="_Toc74995248"/>
      <w:r w:rsidRPr="006B0BDE">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64"/>
        <w:gridCol w:w="2896"/>
        <w:gridCol w:w="2752"/>
        <w:gridCol w:w="1898"/>
      </w:tblGrid>
      <w:tr w:rsidR="000F54B1" w:rsidRPr="006B0BDE" w14:paraId="4AF00418" w14:textId="77777777" w:rsidTr="00A5360C">
        <w:trPr>
          <w:trHeight w:val="340"/>
        </w:trPr>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6B0BDE" w:rsidRDefault="000F54B1" w:rsidP="00845F6F">
            <w:pPr>
              <w:pStyle w:val="Tabellenkopf"/>
              <w:rPr>
                <w:rFonts w:eastAsia="Times New Roman"/>
              </w:rPr>
            </w:pPr>
            <w:r w:rsidRPr="006B0BD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6B0BDE" w:rsidRDefault="000F54B1" w:rsidP="00845F6F">
            <w:pPr>
              <w:pStyle w:val="Tabellenkopf"/>
              <w:rPr>
                <w:rFonts w:eastAsia="Times New Roman"/>
              </w:rPr>
            </w:pPr>
            <w:r w:rsidRPr="006B0BD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6B0BDE" w:rsidRDefault="000F54B1" w:rsidP="00845F6F">
            <w:pPr>
              <w:pStyle w:val="Tabellenkopf"/>
              <w:rPr>
                <w:rFonts w:eastAsia="Times New Roman"/>
              </w:rPr>
            </w:pPr>
            <w:r w:rsidRPr="006B0BD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6B0BDE" w:rsidRDefault="000F54B1" w:rsidP="00845F6F">
            <w:pPr>
              <w:pStyle w:val="Tabellenkopf"/>
              <w:rPr>
                <w:rFonts w:eastAsia="Times New Roman"/>
              </w:rPr>
            </w:pPr>
            <w:r w:rsidRPr="006B0BDE">
              <w:rPr>
                <w:rFonts w:eastAsia="Times New Roman"/>
              </w:rPr>
              <w:t>Datum</w:t>
            </w:r>
          </w:p>
        </w:tc>
      </w:tr>
      <w:tr w:rsidR="000F54B1" w:rsidRPr="006B0BDE" w14:paraId="0F135870"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6B0BDE" w:rsidRDefault="000F54B1" w:rsidP="00845F6F">
            <w:pPr>
              <w:pStyle w:val="TabellenInhalt"/>
              <w:rPr>
                <w:rFonts w:eastAsia="Times New Roman"/>
              </w:rPr>
            </w:pPr>
            <w:r w:rsidRPr="006B0BD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6B0BDE" w:rsidRDefault="000F54B1" w:rsidP="00845F6F">
            <w:pPr>
              <w:pStyle w:val="TabellenInhalt"/>
            </w:pPr>
            <w:r w:rsidRPr="006B0BDE">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6B0BDE" w:rsidRDefault="000F54B1" w:rsidP="00845F6F">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6B0BDE" w:rsidRDefault="000F54B1" w:rsidP="00845F6F">
            <w:pPr>
              <w:pStyle w:val="TabellenInhalt"/>
              <w:rPr>
                <w:rFonts w:eastAsia="Times New Roman"/>
              </w:rPr>
            </w:pPr>
          </w:p>
        </w:tc>
      </w:tr>
      <w:tr w:rsidR="000F54B1" w:rsidRPr="006B0BDE" w14:paraId="74F57C9B"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6B0BDE" w:rsidRDefault="000F54B1" w:rsidP="00845F6F">
            <w:pPr>
              <w:pStyle w:val="TabellenInhalt"/>
              <w:rPr>
                <w:rFonts w:eastAsia="Times New Roman"/>
              </w:rPr>
            </w:pPr>
            <w:r w:rsidRPr="006B0BDE">
              <w:rPr>
                <w:rFonts w:eastAsia="Times New Roman"/>
              </w:rPr>
              <w:t>0.2</w:t>
            </w:r>
            <w:r w:rsidR="006B0BDE">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6B0BDE" w:rsidRDefault="000F54B1" w:rsidP="00845F6F">
            <w:pPr>
              <w:pStyle w:val="TabellenInhalt"/>
              <w:rPr>
                <w:rFonts w:eastAsia="Times New Roman"/>
              </w:rPr>
            </w:pPr>
            <w:r w:rsidRPr="006B0BD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6B0BDE" w:rsidRDefault="000F54B1" w:rsidP="00845F6F">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6B0BDE" w:rsidRDefault="000F54B1" w:rsidP="00845F6F">
            <w:pPr>
              <w:pStyle w:val="TabellenInhalt"/>
              <w:rPr>
                <w:rFonts w:eastAsia="Times New Roman"/>
              </w:rPr>
            </w:pPr>
          </w:p>
        </w:tc>
      </w:tr>
      <w:tr w:rsidR="000F54B1" w:rsidRPr="006B0BDE" w14:paraId="374CE57B"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6B0BDE" w:rsidRDefault="000F54B1" w:rsidP="00845F6F">
            <w:pPr>
              <w:pStyle w:val="TabellenInhalt"/>
              <w:rPr>
                <w:rFonts w:eastAsia="Times New Roman"/>
              </w:rPr>
            </w:pPr>
            <w:r w:rsidRPr="006B0BD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6B0BDE" w:rsidRDefault="000F54B1" w:rsidP="00845F6F">
            <w:pPr>
              <w:pStyle w:val="TabellenInhalt"/>
              <w:rPr>
                <w:rFonts w:eastAsia="Times New Roman"/>
              </w:rPr>
            </w:pPr>
            <w:r w:rsidRPr="006B0BDE">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6B0BDE" w:rsidRDefault="000F54B1" w:rsidP="00845F6F">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6B0BDE" w:rsidRDefault="000F54B1" w:rsidP="00845F6F">
            <w:pPr>
              <w:pStyle w:val="TabellenInhalt"/>
              <w:rPr>
                <w:rFonts w:eastAsia="Times New Roman"/>
              </w:rPr>
            </w:pPr>
          </w:p>
        </w:tc>
      </w:tr>
      <w:tr w:rsidR="000F54B1" w:rsidRPr="006B0BDE" w14:paraId="2E18AAEF"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6B0BDE" w:rsidRDefault="000F54B1" w:rsidP="00845F6F">
            <w:pPr>
              <w:pStyle w:val="TabellenInhalt"/>
              <w:rPr>
                <w:rFonts w:eastAsia="Times New Roman"/>
              </w:rPr>
            </w:pPr>
            <w:r w:rsidRPr="006B0BDE">
              <w:rPr>
                <w:rFonts w:eastAsia="Times New Roman"/>
              </w:rPr>
              <w:lastRenderedPageBreak/>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6B0BDE" w:rsidRDefault="000F54B1" w:rsidP="00845F6F">
            <w:pPr>
              <w:pStyle w:val="TabellenInhalt"/>
              <w:rPr>
                <w:rFonts w:eastAsia="Times New Roman"/>
              </w:rPr>
            </w:pPr>
            <w:r w:rsidRPr="006B0BD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6B0BDE" w:rsidRDefault="000F54B1" w:rsidP="00845F6F">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6B0BDE" w:rsidRDefault="000F54B1" w:rsidP="00845F6F">
            <w:pPr>
              <w:pStyle w:val="TabellenInhalt"/>
              <w:rPr>
                <w:rFonts w:eastAsia="Times New Roman"/>
              </w:rPr>
            </w:pPr>
          </w:p>
        </w:tc>
      </w:tr>
      <w:tr w:rsidR="006B0BDE" w:rsidRPr="006B0BDE" w14:paraId="20DD0E0F"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6B0BDE" w:rsidRDefault="006B0BDE" w:rsidP="00845F6F">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6B0BDE" w:rsidRDefault="006B0BDE" w:rsidP="00845F6F">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6B0BDE" w:rsidRDefault="006B0BDE" w:rsidP="00845F6F">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6B0BDE" w:rsidRDefault="006B0BDE" w:rsidP="00845F6F">
            <w:pPr>
              <w:pStyle w:val="TabellenInhalt"/>
              <w:rPr>
                <w:rFonts w:eastAsia="Times New Roman"/>
              </w:rPr>
            </w:pPr>
          </w:p>
        </w:tc>
      </w:tr>
      <w:tr w:rsidR="006B0BDE" w:rsidRPr="006B0BDE" w14:paraId="2B711EBF"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6B0BDE" w:rsidRDefault="006B0BDE" w:rsidP="00845F6F">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6B0BDE" w:rsidRDefault="006B0BDE" w:rsidP="00845F6F">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6B0BDE" w:rsidRDefault="006B0BDE" w:rsidP="00845F6F">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6B0BDE" w:rsidRDefault="006B0BDE" w:rsidP="00845F6F">
            <w:pPr>
              <w:pStyle w:val="TabellenInhalt"/>
              <w:rPr>
                <w:rFonts w:eastAsia="Times New Roman"/>
              </w:rPr>
            </w:pPr>
          </w:p>
        </w:tc>
      </w:tr>
      <w:tr w:rsidR="006B0BDE" w:rsidRPr="006B0BDE" w14:paraId="39DACF3D" w14:textId="77777777" w:rsidTr="00A5360C">
        <w:trPr>
          <w:cantSplit/>
          <w:trHeight w:val="340"/>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6B0BDE" w:rsidRDefault="006B0BDE" w:rsidP="00845F6F">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6B0BDE" w:rsidRDefault="006B0BDE" w:rsidP="00845F6F">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6B0BDE" w:rsidRDefault="006B0BDE" w:rsidP="00845F6F">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6B0BDE" w:rsidRDefault="006B0BDE" w:rsidP="00845F6F">
            <w:pPr>
              <w:pStyle w:val="TabellenInhalt"/>
              <w:rPr>
                <w:rFonts w:eastAsia="Times New Roman"/>
              </w:rPr>
            </w:pPr>
          </w:p>
        </w:tc>
      </w:tr>
    </w:tbl>
    <w:p w14:paraId="3D1C6DF4" w14:textId="77777777" w:rsidR="00A5360C" w:rsidRDefault="00A5360C" w:rsidP="00845F6F"/>
    <w:p w14:paraId="67DAED52" w14:textId="77777777" w:rsidR="00A5360C" w:rsidRDefault="00A5360C" w:rsidP="00845F6F">
      <w:pPr>
        <w:sectPr w:rsidR="00A5360C" w:rsidSect="00073B67">
          <w:type w:val="continuous"/>
          <w:pgSz w:w="11906" w:h="16838"/>
          <w:pgMar w:top="1440" w:right="1440" w:bottom="1440" w:left="1440" w:header="720" w:footer="720" w:gutter="0"/>
          <w:cols w:space="708"/>
          <w:docGrid w:linePitch="360"/>
        </w:sectPr>
      </w:pPr>
    </w:p>
    <w:p w14:paraId="78D7710C" w14:textId="77777777" w:rsidR="006B0BDE" w:rsidRDefault="006B0BDE" w:rsidP="00845F6F">
      <w:pPr>
        <w:pStyle w:val="1ohneNummer"/>
      </w:pPr>
      <w:bookmarkStart w:id="5" w:name="_Toc74995249"/>
      <w:r>
        <w:lastRenderedPageBreak/>
        <w:t>Inhaltsverzeichnis</w:t>
      </w:r>
      <w:bookmarkEnd w:id="5"/>
    </w:p>
    <w:p w14:paraId="4F3D5DB9" w14:textId="502E6363" w:rsidR="00845F6F" w:rsidRDefault="006B0BDE" w:rsidP="00845F6F">
      <w:pPr>
        <w:pStyle w:val="Verzeichnis1"/>
        <w:rPr>
          <w:rFonts w:cstheme="minorBidi"/>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74995247" w:history="1">
        <w:r w:rsidR="00845F6F" w:rsidRPr="00C82235">
          <w:rPr>
            <w:rStyle w:val="Hyperlink"/>
            <w:noProof/>
          </w:rPr>
          <w:t>Allgemeine Informationen zum vorliegenden Dokument</w:t>
        </w:r>
        <w:r w:rsidR="00845F6F">
          <w:rPr>
            <w:noProof/>
            <w:webHidden/>
          </w:rPr>
          <w:tab/>
        </w:r>
        <w:r w:rsidR="00845F6F">
          <w:rPr>
            <w:noProof/>
            <w:webHidden/>
          </w:rPr>
          <w:fldChar w:fldCharType="begin"/>
        </w:r>
        <w:r w:rsidR="00845F6F">
          <w:rPr>
            <w:noProof/>
            <w:webHidden/>
          </w:rPr>
          <w:instrText xml:space="preserve"> PAGEREF _Toc74995247 \h </w:instrText>
        </w:r>
        <w:r w:rsidR="00845F6F">
          <w:rPr>
            <w:noProof/>
            <w:webHidden/>
          </w:rPr>
        </w:r>
        <w:r w:rsidR="00845F6F">
          <w:rPr>
            <w:noProof/>
            <w:webHidden/>
          </w:rPr>
          <w:fldChar w:fldCharType="separate"/>
        </w:r>
        <w:r w:rsidR="00073B67">
          <w:rPr>
            <w:noProof/>
            <w:webHidden/>
          </w:rPr>
          <w:t>2</w:t>
        </w:r>
        <w:r w:rsidR="00845F6F">
          <w:rPr>
            <w:noProof/>
            <w:webHidden/>
          </w:rPr>
          <w:fldChar w:fldCharType="end"/>
        </w:r>
      </w:hyperlink>
    </w:p>
    <w:p w14:paraId="004160D8" w14:textId="70278EEA" w:rsidR="00845F6F" w:rsidRDefault="009418D6" w:rsidP="00845F6F">
      <w:pPr>
        <w:pStyle w:val="Verzeichnis1"/>
        <w:rPr>
          <w:rFonts w:cstheme="minorBidi"/>
          <w:noProof/>
          <w:sz w:val="24"/>
          <w:szCs w:val="24"/>
        </w:rPr>
      </w:pPr>
      <w:hyperlink w:anchor="_Toc74995248" w:history="1">
        <w:r w:rsidR="00845F6F" w:rsidRPr="00C82235">
          <w:rPr>
            <w:rStyle w:val="Hyperlink"/>
            <w:noProof/>
          </w:rPr>
          <w:t>Dokumentenhistorie</w:t>
        </w:r>
        <w:r w:rsidR="00845F6F">
          <w:rPr>
            <w:noProof/>
            <w:webHidden/>
          </w:rPr>
          <w:tab/>
        </w:r>
        <w:r w:rsidR="00845F6F">
          <w:rPr>
            <w:noProof/>
            <w:webHidden/>
          </w:rPr>
          <w:fldChar w:fldCharType="begin"/>
        </w:r>
        <w:r w:rsidR="00845F6F">
          <w:rPr>
            <w:noProof/>
            <w:webHidden/>
          </w:rPr>
          <w:instrText xml:space="preserve"> PAGEREF _Toc74995248 \h </w:instrText>
        </w:r>
        <w:r w:rsidR="00845F6F">
          <w:rPr>
            <w:noProof/>
            <w:webHidden/>
          </w:rPr>
        </w:r>
        <w:r w:rsidR="00845F6F">
          <w:rPr>
            <w:noProof/>
            <w:webHidden/>
          </w:rPr>
          <w:fldChar w:fldCharType="separate"/>
        </w:r>
        <w:r w:rsidR="00073B67">
          <w:rPr>
            <w:noProof/>
            <w:webHidden/>
          </w:rPr>
          <w:t>3</w:t>
        </w:r>
        <w:r w:rsidR="00845F6F">
          <w:rPr>
            <w:noProof/>
            <w:webHidden/>
          </w:rPr>
          <w:fldChar w:fldCharType="end"/>
        </w:r>
      </w:hyperlink>
    </w:p>
    <w:p w14:paraId="672D01C1" w14:textId="506ED189" w:rsidR="00845F6F" w:rsidRDefault="009418D6" w:rsidP="00845F6F">
      <w:pPr>
        <w:pStyle w:val="Verzeichnis1"/>
        <w:rPr>
          <w:rFonts w:cstheme="minorBidi"/>
          <w:noProof/>
          <w:sz w:val="24"/>
          <w:szCs w:val="24"/>
        </w:rPr>
      </w:pPr>
      <w:hyperlink w:anchor="_Toc74995249" w:history="1">
        <w:r w:rsidR="00845F6F" w:rsidRPr="00C82235">
          <w:rPr>
            <w:rStyle w:val="Hyperlink"/>
            <w:noProof/>
          </w:rPr>
          <w:t>Inhaltsverzeichnis</w:t>
        </w:r>
        <w:r w:rsidR="00845F6F">
          <w:rPr>
            <w:noProof/>
            <w:webHidden/>
          </w:rPr>
          <w:tab/>
        </w:r>
        <w:r w:rsidR="00845F6F">
          <w:rPr>
            <w:noProof/>
            <w:webHidden/>
          </w:rPr>
          <w:fldChar w:fldCharType="begin"/>
        </w:r>
        <w:r w:rsidR="00845F6F">
          <w:rPr>
            <w:noProof/>
            <w:webHidden/>
          </w:rPr>
          <w:instrText xml:space="preserve"> PAGEREF _Toc74995249 \h </w:instrText>
        </w:r>
        <w:r w:rsidR="00845F6F">
          <w:rPr>
            <w:noProof/>
            <w:webHidden/>
          </w:rPr>
        </w:r>
        <w:r w:rsidR="00845F6F">
          <w:rPr>
            <w:noProof/>
            <w:webHidden/>
          </w:rPr>
          <w:fldChar w:fldCharType="separate"/>
        </w:r>
        <w:r w:rsidR="00073B67">
          <w:rPr>
            <w:noProof/>
            <w:webHidden/>
          </w:rPr>
          <w:t>4</w:t>
        </w:r>
        <w:r w:rsidR="00845F6F">
          <w:rPr>
            <w:noProof/>
            <w:webHidden/>
          </w:rPr>
          <w:fldChar w:fldCharType="end"/>
        </w:r>
      </w:hyperlink>
    </w:p>
    <w:p w14:paraId="44A9274D" w14:textId="53F905D0" w:rsidR="00845F6F" w:rsidRDefault="009418D6" w:rsidP="00845F6F">
      <w:pPr>
        <w:pStyle w:val="Verzeichnis1"/>
        <w:rPr>
          <w:rFonts w:cstheme="minorBidi"/>
          <w:noProof/>
          <w:sz w:val="24"/>
          <w:szCs w:val="24"/>
        </w:rPr>
      </w:pPr>
      <w:hyperlink w:anchor="_Toc74995250" w:history="1">
        <w:r w:rsidR="00845F6F" w:rsidRPr="00C82235">
          <w:rPr>
            <w:rStyle w:val="Hyperlink"/>
            <w:noProof/>
          </w:rPr>
          <w:t>Allgemeine Festlegungen</w:t>
        </w:r>
        <w:r w:rsidR="00845F6F">
          <w:rPr>
            <w:noProof/>
            <w:webHidden/>
          </w:rPr>
          <w:tab/>
        </w:r>
        <w:r w:rsidR="00845F6F">
          <w:rPr>
            <w:noProof/>
            <w:webHidden/>
          </w:rPr>
          <w:fldChar w:fldCharType="begin"/>
        </w:r>
        <w:r w:rsidR="00845F6F">
          <w:rPr>
            <w:noProof/>
            <w:webHidden/>
          </w:rPr>
          <w:instrText xml:space="preserve"> PAGEREF _Toc74995250 \h </w:instrText>
        </w:r>
        <w:r w:rsidR="00845F6F">
          <w:rPr>
            <w:noProof/>
            <w:webHidden/>
          </w:rPr>
        </w:r>
        <w:r w:rsidR="00845F6F">
          <w:rPr>
            <w:noProof/>
            <w:webHidden/>
          </w:rPr>
          <w:fldChar w:fldCharType="separate"/>
        </w:r>
        <w:r w:rsidR="00073B67">
          <w:rPr>
            <w:noProof/>
            <w:webHidden/>
          </w:rPr>
          <w:t>5</w:t>
        </w:r>
        <w:r w:rsidR="00845F6F">
          <w:rPr>
            <w:noProof/>
            <w:webHidden/>
          </w:rPr>
          <w:fldChar w:fldCharType="end"/>
        </w:r>
      </w:hyperlink>
    </w:p>
    <w:p w14:paraId="28558333" w14:textId="06D14ACA" w:rsidR="00845F6F" w:rsidRDefault="009418D6">
      <w:pPr>
        <w:pStyle w:val="Verzeichnis2"/>
        <w:tabs>
          <w:tab w:val="right" w:leader="dot" w:pos="9350"/>
        </w:tabs>
        <w:rPr>
          <w:rFonts w:cstheme="minorBidi"/>
          <w:i w:val="0"/>
          <w:iCs w:val="0"/>
          <w:noProof/>
          <w:sz w:val="24"/>
          <w:szCs w:val="24"/>
        </w:rPr>
      </w:pPr>
      <w:hyperlink w:anchor="_Toc74995251" w:history="1">
        <w:r w:rsidR="00845F6F" w:rsidRPr="00C82235">
          <w:rPr>
            <w:rStyle w:val="Hyperlink"/>
            <w:noProof/>
          </w:rPr>
          <w:t>Stellenwert der Informationssicherheit</w:t>
        </w:r>
        <w:r w:rsidR="00845F6F">
          <w:rPr>
            <w:noProof/>
            <w:webHidden/>
          </w:rPr>
          <w:tab/>
        </w:r>
        <w:r w:rsidR="00845F6F">
          <w:rPr>
            <w:noProof/>
            <w:webHidden/>
          </w:rPr>
          <w:fldChar w:fldCharType="begin"/>
        </w:r>
        <w:r w:rsidR="00845F6F">
          <w:rPr>
            <w:noProof/>
            <w:webHidden/>
          </w:rPr>
          <w:instrText xml:space="preserve"> PAGEREF _Toc74995251 \h </w:instrText>
        </w:r>
        <w:r w:rsidR="00845F6F">
          <w:rPr>
            <w:noProof/>
            <w:webHidden/>
          </w:rPr>
        </w:r>
        <w:r w:rsidR="00845F6F">
          <w:rPr>
            <w:noProof/>
            <w:webHidden/>
          </w:rPr>
          <w:fldChar w:fldCharType="separate"/>
        </w:r>
        <w:r w:rsidR="00073B67">
          <w:rPr>
            <w:noProof/>
            <w:webHidden/>
          </w:rPr>
          <w:t>5</w:t>
        </w:r>
        <w:r w:rsidR="00845F6F">
          <w:rPr>
            <w:noProof/>
            <w:webHidden/>
          </w:rPr>
          <w:fldChar w:fldCharType="end"/>
        </w:r>
      </w:hyperlink>
    </w:p>
    <w:p w14:paraId="73970747" w14:textId="6F441372" w:rsidR="00845F6F" w:rsidRDefault="009418D6">
      <w:pPr>
        <w:pStyle w:val="Verzeichnis2"/>
        <w:tabs>
          <w:tab w:val="right" w:leader="dot" w:pos="9350"/>
        </w:tabs>
        <w:rPr>
          <w:rFonts w:cstheme="minorBidi"/>
          <w:i w:val="0"/>
          <w:iCs w:val="0"/>
          <w:noProof/>
          <w:sz w:val="24"/>
          <w:szCs w:val="24"/>
        </w:rPr>
      </w:pPr>
      <w:hyperlink w:anchor="_Toc74995252" w:history="1">
        <w:r w:rsidR="00845F6F" w:rsidRPr="00C82235">
          <w:rPr>
            <w:rStyle w:val="Hyperlink"/>
            <w:noProof/>
          </w:rPr>
          <w:t>Ziel der Informationssicherheit</w:t>
        </w:r>
        <w:r w:rsidR="00845F6F">
          <w:rPr>
            <w:noProof/>
            <w:webHidden/>
          </w:rPr>
          <w:tab/>
        </w:r>
        <w:r w:rsidR="00845F6F">
          <w:rPr>
            <w:noProof/>
            <w:webHidden/>
          </w:rPr>
          <w:fldChar w:fldCharType="begin"/>
        </w:r>
        <w:r w:rsidR="00845F6F">
          <w:rPr>
            <w:noProof/>
            <w:webHidden/>
          </w:rPr>
          <w:instrText xml:space="preserve"> PAGEREF _Toc74995252 \h </w:instrText>
        </w:r>
        <w:r w:rsidR="00845F6F">
          <w:rPr>
            <w:noProof/>
            <w:webHidden/>
          </w:rPr>
        </w:r>
        <w:r w:rsidR="00845F6F">
          <w:rPr>
            <w:noProof/>
            <w:webHidden/>
          </w:rPr>
          <w:fldChar w:fldCharType="separate"/>
        </w:r>
        <w:r w:rsidR="00073B67">
          <w:rPr>
            <w:noProof/>
            <w:webHidden/>
          </w:rPr>
          <w:t>5</w:t>
        </w:r>
        <w:r w:rsidR="00845F6F">
          <w:rPr>
            <w:noProof/>
            <w:webHidden/>
          </w:rPr>
          <w:fldChar w:fldCharType="end"/>
        </w:r>
      </w:hyperlink>
    </w:p>
    <w:p w14:paraId="03FF2123" w14:textId="332F1EAC" w:rsidR="00845F6F" w:rsidRDefault="009418D6">
      <w:pPr>
        <w:pStyle w:val="Verzeichnis2"/>
        <w:tabs>
          <w:tab w:val="right" w:leader="dot" w:pos="9350"/>
        </w:tabs>
        <w:rPr>
          <w:rFonts w:cstheme="minorBidi"/>
          <w:i w:val="0"/>
          <w:iCs w:val="0"/>
          <w:noProof/>
          <w:sz w:val="24"/>
          <w:szCs w:val="24"/>
        </w:rPr>
      </w:pPr>
      <w:hyperlink w:anchor="_Toc74995253" w:history="1">
        <w:r w:rsidR="00845F6F" w:rsidRPr="00C82235">
          <w:rPr>
            <w:rStyle w:val="Hyperlink"/>
            <w:noProof/>
          </w:rPr>
          <w:t>Sicherheitsstrategie</w:t>
        </w:r>
        <w:r w:rsidR="00845F6F">
          <w:rPr>
            <w:noProof/>
            <w:webHidden/>
          </w:rPr>
          <w:tab/>
        </w:r>
        <w:r w:rsidR="00845F6F">
          <w:rPr>
            <w:noProof/>
            <w:webHidden/>
          </w:rPr>
          <w:fldChar w:fldCharType="begin"/>
        </w:r>
        <w:r w:rsidR="00845F6F">
          <w:rPr>
            <w:noProof/>
            <w:webHidden/>
          </w:rPr>
          <w:instrText xml:space="preserve"> PAGEREF _Toc74995253 \h </w:instrText>
        </w:r>
        <w:r w:rsidR="00845F6F">
          <w:rPr>
            <w:noProof/>
            <w:webHidden/>
          </w:rPr>
        </w:r>
        <w:r w:rsidR="00845F6F">
          <w:rPr>
            <w:noProof/>
            <w:webHidden/>
          </w:rPr>
          <w:fldChar w:fldCharType="separate"/>
        </w:r>
        <w:r w:rsidR="00073B67">
          <w:rPr>
            <w:noProof/>
            <w:webHidden/>
          </w:rPr>
          <w:t>5</w:t>
        </w:r>
        <w:r w:rsidR="00845F6F">
          <w:rPr>
            <w:noProof/>
            <w:webHidden/>
          </w:rPr>
          <w:fldChar w:fldCharType="end"/>
        </w:r>
      </w:hyperlink>
    </w:p>
    <w:p w14:paraId="6DA6F662" w14:textId="0E2899C9" w:rsidR="00845F6F" w:rsidRDefault="009418D6">
      <w:pPr>
        <w:pStyle w:val="Verzeichnis2"/>
        <w:tabs>
          <w:tab w:val="right" w:leader="dot" w:pos="9350"/>
        </w:tabs>
        <w:rPr>
          <w:rFonts w:cstheme="minorBidi"/>
          <w:i w:val="0"/>
          <w:iCs w:val="0"/>
          <w:noProof/>
          <w:sz w:val="24"/>
          <w:szCs w:val="24"/>
        </w:rPr>
      </w:pPr>
      <w:hyperlink w:anchor="_Toc74995254" w:history="1">
        <w:r w:rsidR="00845F6F" w:rsidRPr="00C82235">
          <w:rPr>
            <w:rStyle w:val="Hyperlink"/>
            <w:noProof/>
          </w:rPr>
          <w:t>Geltungsbereich und Zuständigkeiten</w:t>
        </w:r>
        <w:r w:rsidR="00845F6F">
          <w:rPr>
            <w:noProof/>
            <w:webHidden/>
          </w:rPr>
          <w:tab/>
        </w:r>
        <w:r w:rsidR="00845F6F">
          <w:rPr>
            <w:noProof/>
            <w:webHidden/>
          </w:rPr>
          <w:fldChar w:fldCharType="begin"/>
        </w:r>
        <w:r w:rsidR="00845F6F">
          <w:rPr>
            <w:noProof/>
            <w:webHidden/>
          </w:rPr>
          <w:instrText xml:space="preserve"> PAGEREF _Toc74995254 \h </w:instrText>
        </w:r>
        <w:r w:rsidR="00845F6F">
          <w:rPr>
            <w:noProof/>
            <w:webHidden/>
          </w:rPr>
        </w:r>
        <w:r w:rsidR="00845F6F">
          <w:rPr>
            <w:noProof/>
            <w:webHidden/>
          </w:rPr>
          <w:fldChar w:fldCharType="separate"/>
        </w:r>
        <w:r w:rsidR="00073B67">
          <w:rPr>
            <w:noProof/>
            <w:webHidden/>
          </w:rPr>
          <w:t>6</w:t>
        </w:r>
        <w:r w:rsidR="00845F6F">
          <w:rPr>
            <w:noProof/>
            <w:webHidden/>
          </w:rPr>
          <w:fldChar w:fldCharType="end"/>
        </w:r>
      </w:hyperlink>
    </w:p>
    <w:p w14:paraId="3946F00F" w14:textId="142D939C" w:rsidR="00845F6F" w:rsidRDefault="009418D6">
      <w:pPr>
        <w:pStyle w:val="Verzeichnis2"/>
        <w:tabs>
          <w:tab w:val="right" w:leader="dot" w:pos="9350"/>
        </w:tabs>
        <w:rPr>
          <w:rFonts w:cstheme="minorBidi"/>
          <w:i w:val="0"/>
          <w:iCs w:val="0"/>
          <w:noProof/>
          <w:sz w:val="24"/>
          <w:szCs w:val="24"/>
        </w:rPr>
      </w:pPr>
      <w:hyperlink w:anchor="_Toc74995255" w:history="1">
        <w:r w:rsidR="00845F6F" w:rsidRPr="00C82235">
          <w:rPr>
            <w:rStyle w:val="Hyperlink"/>
            <w:noProof/>
          </w:rPr>
          <w:t>Genehmigungs- und Änderungsverfahren</w:t>
        </w:r>
        <w:r w:rsidR="00845F6F">
          <w:rPr>
            <w:noProof/>
            <w:webHidden/>
          </w:rPr>
          <w:tab/>
        </w:r>
        <w:r w:rsidR="00845F6F">
          <w:rPr>
            <w:noProof/>
            <w:webHidden/>
          </w:rPr>
          <w:fldChar w:fldCharType="begin"/>
        </w:r>
        <w:r w:rsidR="00845F6F">
          <w:rPr>
            <w:noProof/>
            <w:webHidden/>
          </w:rPr>
          <w:instrText xml:space="preserve"> PAGEREF _Toc74995255 \h </w:instrText>
        </w:r>
        <w:r w:rsidR="00845F6F">
          <w:rPr>
            <w:noProof/>
            <w:webHidden/>
          </w:rPr>
        </w:r>
        <w:r w:rsidR="00845F6F">
          <w:rPr>
            <w:noProof/>
            <w:webHidden/>
          </w:rPr>
          <w:fldChar w:fldCharType="separate"/>
        </w:r>
        <w:r w:rsidR="00073B67">
          <w:rPr>
            <w:noProof/>
            <w:webHidden/>
          </w:rPr>
          <w:t>6</w:t>
        </w:r>
        <w:r w:rsidR="00845F6F">
          <w:rPr>
            <w:noProof/>
            <w:webHidden/>
          </w:rPr>
          <w:fldChar w:fldCharType="end"/>
        </w:r>
      </w:hyperlink>
    </w:p>
    <w:p w14:paraId="71743CFF" w14:textId="007D240E" w:rsidR="00845F6F" w:rsidRDefault="009418D6" w:rsidP="00845F6F">
      <w:pPr>
        <w:pStyle w:val="Verzeichnis1"/>
        <w:rPr>
          <w:rFonts w:cstheme="minorBidi"/>
          <w:noProof/>
          <w:sz w:val="24"/>
          <w:szCs w:val="24"/>
        </w:rPr>
      </w:pPr>
      <w:hyperlink w:anchor="_Toc74995256" w:history="1">
        <w:r w:rsidR="00845F6F" w:rsidRPr="00C82235">
          <w:rPr>
            <w:rStyle w:val="Hyperlink"/>
            <w:noProof/>
          </w:rPr>
          <w:t>Gesamtverantwortung für das Informationssicherheitsmanagement</w:t>
        </w:r>
        <w:r w:rsidR="00845F6F">
          <w:rPr>
            <w:noProof/>
            <w:webHidden/>
          </w:rPr>
          <w:tab/>
        </w:r>
        <w:r w:rsidR="00845F6F">
          <w:rPr>
            <w:noProof/>
            <w:webHidden/>
          </w:rPr>
          <w:fldChar w:fldCharType="begin"/>
        </w:r>
        <w:r w:rsidR="00845F6F">
          <w:rPr>
            <w:noProof/>
            <w:webHidden/>
          </w:rPr>
          <w:instrText xml:space="preserve"> PAGEREF _Toc74995256 \h </w:instrText>
        </w:r>
        <w:r w:rsidR="00845F6F">
          <w:rPr>
            <w:noProof/>
            <w:webHidden/>
          </w:rPr>
        </w:r>
        <w:r w:rsidR="00845F6F">
          <w:rPr>
            <w:noProof/>
            <w:webHidden/>
          </w:rPr>
          <w:fldChar w:fldCharType="separate"/>
        </w:r>
        <w:r w:rsidR="00073B67">
          <w:rPr>
            <w:noProof/>
            <w:webHidden/>
          </w:rPr>
          <w:t>6</w:t>
        </w:r>
        <w:r w:rsidR="00845F6F">
          <w:rPr>
            <w:noProof/>
            <w:webHidden/>
          </w:rPr>
          <w:fldChar w:fldCharType="end"/>
        </w:r>
      </w:hyperlink>
    </w:p>
    <w:p w14:paraId="135502C4" w14:textId="404FCC23" w:rsidR="00845F6F" w:rsidRDefault="009418D6">
      <w:pPr>
        <w:pStyle w:val="Verzeichnis2"/>
        <w:tabs>
          <w:tab w:val="right" w:leader="dot" w:pos="9350"/>
        </w:tabs>
        <w:rPr>
          <w:rFonts w:cstheme="minorBidi"/>
          <w:i w:val="0"/>
          <w:iCs w:val="0"/>
          <w:noProof/>
          <w:sz w:val="24"/>
          <w:szCs w:val="24"/>
        </w:rPr>
      </w:pPr>
      <w:hyperlink w:anchor="_Toc74995257" w:history="1">
        <w:r w:rsidR="00845F6F" w:rsidRPr="00C82235">
          <w:rPr>
            <w:rStyle w:val="Hyperlink"/>
            <w:noProof/>
          </w:rPr>
          <w:t>Rollen und Gremien</w:t>
        </w:r>
        <w:r w:rsidR="00845F6F">
          <w:rPr>
            <w:noProof/>
            <w:webHidden/>
          </w:rPr>
          <w:tab/>
        </w:r>
        <w:r w:rsidR="00845F6F">
          <w:rPr>
            <w:noProof/>
            <w:webHidden/>
          </w:rPr>
          <w:fldChar w:fldCharType="begin"/>
        </w:r>
        <w:r w:rsidR="00845F6F">
          <w:rPr>
            <w:noProof/>
            <w:webHidden/>
          </w:rPr>
          <w:instrText xml:space="preserve"> PAGEREF _Toc74995257 \h </w:instrText>
        </w:r>
        <w:r w:rsidR="00845F6F">
          <w:rPr>
            <w:noProof/>
            <w:webHidden/>
          </w:rPr>
        </w:r>
        <w:r w:rsidR="00845F6F">
          <w:rPr>
            <w:noProof/>
            <w:webHidden/>
          </w:rPr>
          <w:fldChar w:fldCharType="separate"/>
        </w:r>
        <w:r w:rsidR="00073B67">
          <w:rPr>
            <w:noProof/>
            <w:webHidden/>
          </w:rPr>
          <w:t>7</w:t>
        </w:r>
        <w:r w:rsidR="00845F6F">
          <w:rPr>
            <w:noProof/>
            <w:webHidden/>
          </w:rPr>
          <w:fldChar w:fldCharType="end"/>
        </w:r>
      </w:hyperlink>
    </w:p>
    <w:p w14:paraId="3F57E40F" w14:textId="3C657ECF" w:rsidR="00845F6F" w:rsidRDefault="009418D6">
      <w:pPr>
        <w:pStyle w:val="Verzeichnis3"/>
        <w:tabs>
          <w:tab w:val="right" w:leader="dot" w:pos="9350"/>
        </w:tabs>
        <w:rPr>
          <w:rFonts w:cstheme="minorBidi"/>
          <w:noProof/>
          <w:sz w:val="24"/>
          <w:szCs w:val="24"/>
        </w:rPr>
      </w:pPr>
      <w:hyperlink w:anchor="_Toc74995258" w:history="1">
        <w:r w:rsidR="00845F6F" w:rsidRPr="00C82235">
          <w:rPr>
            <w:rStyle w:val="Hyperlink"/>
            <w:noProof/>
            <w:highlight w:val="yellow"/>
          </w:rPr>
          <w:t>&lt;Informationssicherheitsbeauftragten&gt;</w:t>
        </w:r>
        <w:r w:rsidR="00845F6F">
          <w:rPr>
            <w:noProof/>
            <w:webHidden/>
          </w:rPr>
          <w:tab/>
        </w:r>
        <w:r w:rsidR="00845F6F">
          <w:rPr>
            <w:noProof/>
            <w:webHidden/>
          </w:rPr>
          <w:fldChar w:fldCharType="begin"/>
        </w:r>
        <w:r w:rsidR="00845F6F">
          <w:rPr>
            <w:noProof/>
            <w:webHidden/>
          </w:rPr>
          <w:instrText xml:space="preserve"> PAGEREF _Toc74995258 \h </w:instrText>
        </w:r>
        <w:r w:rsidR="00845F6F">
          <w:rPr>
            <w:noProof/>
            <w:webHidden/>
          </w:rPr>
        </w:r>
        <w:r w:rsidR="00845F6F">
          <w:rPr>
            <w:noProof/>
            <w:webHidden/>
          </w:rPr>
          <w:fldChar w:fldCharType="separate"/>
        </w:r>
        <w:r w:rsidR="00073B67">
          <w:rPr>
            <w:noProof/>
            <w:webHidden/>
          </w:rPr>
          <w:t>7</w:t>
        </w:r>
        <w:r w:rsidR="00845F6F">
          <w:rPr>
            <w:noProof/>
            <w:webHidden/>
          </w:rPr>
          <w:fldChar w:fldCharType="end"/>
        </w:r>
      </w:hyperlink>
    </w:p>
    <w:p w14:paraId="29D4D889" w14:textId="5A666FF0" w:rsidR="00845F6F" w:rsidRDefault="009418D6">
      <w:pPr>
        <w:pStyle w:val="Verzeichnis3"/>
        <w:tabs>
          <w:tab w:val="right" w:leader="dot" w:pos="9350"/>
        </w:tabs>
        <w:rPr>
          <w:rFonts w:cstheme="minorBidi"/>
          <w:noProof/>
          <w:sz w:val="24"/>
          <w:szCs w:val="24"/>
        </w:rPr>
      </w:pPr>
      <w:hyperlink w:anchor="_Toc74995259" w:history="1">
        <w:r w:rsidR="00845F6F" w:rsidRPr="00C82235">
          <w:rPr>
            <w:rStyle w:val="Hyperlink"/>
            <w:noProof/>
            <w:highlight w:val="yellow"/>
          </w:rPr>
          <w:t>&lt;Datenschutzbeauftragter&gt;</w:t>
        </w:r>
        <w:r w:rsidR="00845F6F">
          <w:rPr>
            <w:noProof/>
            <w:webHidden/>
          </w:rPr>
          <w:tab/>
        </w:r>
        <w:r w:rsidR="00845F6F">
          <w:rPr>
            <w:noProof/>
            <w:webHidden/>
          </w:rPr>
          <w:fldChar w:fldCharType="begin"/>
        </w:r>
        <w:r w:rsidR="00845F6F">
          <w:rPr>
            <w:noProof/>
            <w:webHidden/>
          </w:rPr>
          <w:instrText xml:space="preserve"> PAGEREF _Toc74995259 \h </w:instrText>
        </w:r>
        <w:r w:rsidR="00845F6F">
          <w:rPr>
            <w:noProof/>
            <w:webHidden/>
          </w:rPr>
        </w:r>
        <w:r w:rsidR="00845F6F">
          <w:rPr>
            <w:noProof/>
            <w:webHidden/>
          </w:rPr>
          <w:fldChar w:fldCharType="separate"/>
        </w:r>
        <w:r w:rsidR="00073B67">
          <w:rPr>
            <w:noProof/>
            <w:webHidden/>
          </w:rPr>
          <w:t>7</w:t>
        </w:r>
        <w:r w:rsidR="00845F6F">
          <w:rPr>
            <w:noProof/>
            <w:webHidden/>
          </w:rPr>
          <w:fldChar w:fldCharType="end"/>
        </w:r>
      </w:hyperlink>
    </w:p>
    <w:p w14:paraId="6583C560" w14:textId="2A68C197" w:rsidR="00845F6F" w:rsidRDefault="009418D6">
      <w:pPr>
        <w:pStyle w:val="Verzeichnis3"/>
        <w:tabs>
          <w:tab w:val="right" w:leader="dot" w:pos="9350"/>
        </w:tabs>
        <w:rPr>
          <w:rFonts w:cstheme="minorBidi"/>
          <w:noProof/>
          <w:sz w:val="24"/>
          <w:szCs w:val="24"/>
        </w:rPr>
      </w:pPr>
      <w:hyperlink w:anchor="_Toc74995260" w:history="1">
        <w:r w:rsidR="00845F6F" w:rsidRPr="00C82235">
          <w:rPr>
            <w:rStyle w:val="Hyperlink"/>
            <w:noProof/>
            <w:highlight w:val="yellow"/>
          </w:rPr>
          <w:t>&lt;Informationssicherheitsteam&gt;</w:t>
        </w:r>
        <w:r w:rsidR="00845F6F">
          <w:rPr>
            <w:noProof/>
            <w:webHidden/>
          </w:rPr>
          <w:tab/>
        </w:r>
        <w:r w:rsidR="00845F6F">
          <w:rPr>
            <w:noProof/>
            <w:webHidden/>
          </w:rPr>
          <w:fldChar w:fldCharType="begin"/>
        </w:r>
        <w:r w:rsidR="00845F6F">
          <w:rPr>
            <w:noProof/>
            <w:webHidden/>
          </w:rPr>
          <w:instrText xml:space="preserve"> PAGEREF _Toc74995260 \h </w:instrText>
        </w:r>
        <w:r w:rsidR="00845F6F">
          <w:rPr>
            <w:noProof/>
            <w:webHidden/>
          </w:rPr>
        </w:r>
        <w:r w:rsidR="00845F6F">
          <w:rPr>
            <w:noProof/>
            <w:webHidden/>
          </w:rPr>
          <w:fldChar w:fldCharType="separate"/>
        </w:r>
        <w:r w:rsidR="00073B67">
          <w:rPr>
            <w:noProof/>
            <w:webHidden/>
          </w:rPr>
          <w:t>8</w:t>
        </w:r>
        <w:r w:rsidR="00845F6F">
          <w:rPr>
            <w:noProof/>
            <w:webHidden/>
          </w:rPr>
          <w:fldChar w:fldCharType="end"/>
        </w:r>
      </w:hyperlink>
    </w:p>
    <w:p w14:paraId="0B37EA44" w14:textId="5A9333FA" w:rsidR="00845F6F" w:rsidRDefault="009418D6">
      <w:pPr>
        <w:pStyle w:val="Verzeichnis2"/>
        <w:tabs>
          <w:tab w:val="right" w:leader="dot" w:pos="9350"/>
        </w:tabs>
        <w:rPr>
          <w:rFonts w:cstheme="minorBidi"/>
          <w:i w:val="0"/>
          <w:iCs w:val="0"/>
          <w:noProof/>
          <w:sz w:val="24"/>
          <w:szCs w:val="24"/>
        </w:rPr>
      </w:pPr>
      <w:hyperlink w:anchor="_Toc74995261" w:history="1">
        <w:r w:rsidR="00845F6F" w:rsidRPr="00C82235">
          <w:rPr>
            <w:rStyle w:val="Hyperlink"/>
            <w:noProof/>
          </w:rPr>
          <w:t>Regelungsstruktur</w:t>
        </w:r>
        <w:r w:rsidR="00845F6F">
          <w:rPr>
            <w:noProof/>
            <w:webHidden/>
          </w:rPr>
          <w:tab/>
        </w:r>
        <w:r w:rsidR="00845F6F">
          <w:rPr>
            <w:noProof/>
            <w:webHidden/>
          </w:rPr>
          <w:fldChar w:fldCharType="begin"/>
        </w:r>
        <w:r w:rsidR="00845F6F">
          <w:rPr>
            <w:noProof/>
            <w:webHidden/>
          </w:rPr>
          <w:instrText xml:space="preserve"> PAGEREF _Toc74995261 \h </w:instrText>
        </w:r>
        <w:r w:rsidR="00845F6F">
          <w:rPr>
            <w:noProof/>
            <w:webHidden/>
          </w:rPr>
        </w:r>
        <w:r w:rsidR="00845F6F">
          <w:rPr>
            <w:noProof/>
            <w:webHidden/>
          </w:rPr>
          <w:fldChar w:fldCharType="separate"/>
        </w:r>
        <w:r w:rsidR="00073B67">
          <w:rPr>
            <w:noProof/>
            <w:webHidden/>
          </w:rPr>
          <w:t>8</w:t>
        </w:r>
        <w:r w:rsidR="00845F6F">
          <w:rPr>
            <w:noProof/>
            <w:webHidden/>
          </w:rPr>
          <w:fldChar w:fldCharType="end"/>
        </w:r>
      </w:hyperlink>
    </w:p>
    <w:p w14:paraId="7B22E5E0" w14:textId="4C33B84E" w:rsidR="00845F6F" w:rsidRDefault="009418D6" w:rsidP="00845F6F">
      <w:pPr>
        <w:pStyle w:val="Verzeichnis1"/>
        <w:rPr>
          <w:rFonts w:cstheme="minorBidi"/>
          <w:noProof/>
          <w:sz w:val="24"/>
          <w:szCs w:val="24"/>
        </w:rPr>
      </w:pPr>
      <w:hyperlink w:anchor="_Toc74995262" w:history="1">
        <w:r w:rsidR="00845F6F" w:rsidRPr="00C82235">
          <w:rPr>
            <w:rStyle w:val="Hyperlink"/>
            <w:noProof/>
          </w:rPr>
          <w:t>Verstöße und Sanktionen</w:t>
        </w:r>
        <w:r w:rsidR="00845F6F">
          <w:rPr>
            <w:noProof/>
            <w:webHidden/>
          </w:rPr>
          <w:tab/>
        </w:r>
        <w:r w:rsidR="00845F6F">
          <w:rPr>
            <w:noProof/>
            <w:webHidden/>
          </w:rPr>
          <w:fldChar w:fldCharType="begin"/>
        </w:r>
        <w:r w:rsidR="00845F6F">
          <w:rPr>
            <w:noProof/>
            <w:webHidden/>
          </w:rPr>
          <w:instrText xml:space="preserve"> PAGEREF _Toc74995262 \h </w:instrText>
        </w:r>
        <w:r w:rsidR="00845F6F">
          <w:rPr>
            <w:noProof/>
            <w:webHidden/>
          </w:rPr>
        </w:r>
        <w:r w:rsidR="00845F6F">
          <w:rPr>
            <w:noProof/>
            <w:webHidden/>
          </w:rPr>
          <w:fldChar w:fldCharType="separate"/>
        </w:r>
        <w:r w:rsidR="00073B67">
          <w:rPr>
            <w:noProof/>
            <w:webHidden/>
          </w:rPr>
          <w:t>8</w:t>
        </w:r>
        <w:r w:rsidR="00845F6F">
          <w:rPr>
            <w:noProof/>
            <w:webHidden/>
          </w:rPr>
          <w:fldChar w:fldCharType="end"/>
        </w:r>
      </w:hyperlink>
    </w:p>
    <w:p w14:paraId="02F16162" w14:textId="77777777" w:rsidR="009D5026" w:rsidRDefault="006B0BDE" w:rsidP="00845F6F">
      <w:r>
        <w:fldChar w:fldCharType="end"/>
      </w:r>
    </w:p>
    <w:p w14:paraId="2F6ABDD4" w14:textId="77777777" w:rsidR="00A5360C" w:rsidRDefault="00A5360C" w:rsidP="00845F6F">
      <w:pPr>
        <w:sectPr w:rsidR="00A5360C" w:rsidSect="00A5360C">
          <w:pgSz w:w="11906" w:h="16838"/>
          <w:pgMar w:top="1440" w:right="1440" w:bottom="1440" w:left="1440" w:header="720" w:footer="720" w:gutter="0"/>
          <w:cols w:space="708"/>
          <w:docGrid w:linePitch="360"/>
        </w:sectPr>
      </w:pPr>
    </w:p>
    <w:p w14:paraId="39BBA7FE" w14:textId="77777777" w:rsidR="00E42A14" w:rsidRPr="006B0BDE" w:rsidRDefault="00487E8F" w:rsidP="00845F6F">
      <w:pPr>
        <w:pStyle w:val="berschrift1"/>
      </w:pPr>
      <w:bookmarkStart w:id="6" w:name="_Toc74856127"/>
      <w:bookmarkStart w:id="7" w:name="_Toc74995250"/>
      <w:r w:rsidRPr="006B0BDE">
        <w:lastRenderedPageBreak/>
        <w:t>Allgemeine Festlegungen</w:t>
      </w:r>
      <w:bookmarkEnd w:id="6"/>
      <w:bookmarkEnd w:id="7"/>
    </w:p>
    <w:p w14:paraId="6F289D80" w14:textId="77777777" w:rsidR="00E42A14" w:rsidRPr="006B0BDE" w:rsidRDefault="00487E8F" w:rsidP="00845F6F">
      <w:pPr>
        <w:pStyle w:val="berschrift2"/>
      </w:pPr>
      <w:bookmarkStart w:id="8" w:name="_Toc74856128"/>
      <w:bookmarkStart w:id="9" w:name="_Toc74995251"/>
      <w:r w:rsidRPr="006B0BDE">
        <w:t>Stellenwert der Informationssicherheit</w:t>
      </w:r>
      <w:bookmarkEnd w:id="8"/>
      <w:bookmarkEnd w:id="9"/>
    </w:p>
    <w:p w14:paraId="042F3CBA" w14:textId="77777777" w:rsidR="00E42A14" w:rsidRPr="00845F6F" w:rsidRDefault="00517291" w:rsidP="00845F6F">
      <w:r w:rsidRPr="00845F6F">
        <w:t>F</w:t>
      </w:r>
      <w:r w:rsidR="00487E8F" w:rsidRPr="00845F6F">
        <w:t xml:space="preserve">ür die </w:t>
      </w:r>
      <w:r w:rsidRPr="00845F6F">
        <w:rPr>
          <w:highlight w:val="yellow"/>
        </w:rPr>
        <w:t>&lt;Institution&gt;</w:t>
      </w:r>
      <w:r w:rsidR="00487E8F" w:rsidRPr="00845F6F">
        <w:t xml:space="preserve"> </w:t>
      </w:r>
      <w:r w:rsidRPr="00845F6F">
        <w:t xml:space="preserve">nimmt </w:t>
      </w:r>
      <w:r w:rsidR="00487E8F" w:rsidRPr="00845F6F">
        <w:t xml:space="preserve">die Informationsverarbeitung </w:t>
      </w:r>
      <w:r w:rsidRPr="00845F6F">
        <w:t xml:space="preserve">in Zeiten der Digitalisierung aller Geschäftsprozesse </w:t>
      </w:r>
      <w:r w:rsidR="00487E8F" w:rsidRPr="00845F6F">
        <w:t>eine Schlüsselrolle ein. Alle wesentlichen strategischen und operativen Funktionen und Aufgaben werden durch Informationstechnik maßgeblich unterstützt.</w:t>
      </w:r>
    </w:p>
    <w:p w14:paraId="23395D8D" w14:textId="77777777" w:rsidR="00E42A14" w:rsidRPr="00845F6F" w:rsidRDefault="00487E8F" w:rsidP="00845F6F">
      <w:r w:rsidRPr="00845F6F">
        <w:t xml:space="preserve">Über die gesetzlichen und vertraglichen Anforderungen hinaus besteht eine besondere Vertrauensstellung, Erwartungshaltung und Vorbildfunktion, da teilweise Informationen mit erhöhtem Schutzbedarf erhoben, verarbeitet und gespeichert werden. Sicherheitsvorfälle können daher zu einem erheblichen Schaden bei Mitarbeitenden, </w:t>
      </w:r>
      <w:r w:rsidRPr="00845F6F">
        <w:rPr>
          <w:highlight w:val="yellow"/>
        </w:rPr>
        <w:t>Kunden, Partnern oder Dritten</w:t>
      </w:r>
      <w:r w:rsidRPr="00845F6F">
        <w:t xml:space="preserve"> führen und sich dadurch auch nachhaltig auf das allgemeine Vertrauen in die </w:t>
      </w:r>
      <w:r w:rsidR="00517291" w:rsidRPr="00845F6F">
        <w:rPr>
          <w:highlight w:val="yellow"/>
        </w:rPr>
        <w:t>&lt;Institution&gt;</w:t>
      </w:r>
      <w:r w:rsidRPr="00845F6F">
        <w:t xml:space="preserve"> auswirken.</w:t>
      </w:r>
    </w:p>
    <w:p w14:paraId="6AC6A39E" w14:textId="77777777" w:rsidR="00E42A14" w:rsidRPr="006B0BDE" w:rsidRDefault="00487E8F" w:rsidP="00845F6F">
      <w:pPr>
        <w:pStyle w:val="berschrift2"/>
      </w:pPr>
      <w:bookmarkStart w:id="10" w:name="_Toc74856129"/>
      <w:bookmarkStart w:id="11" w:name="_Toc74995252"/>
      <w:r w:rsidRPr="006B0BDE">
        <w:t>Ziel der Informationssicherheit</w:t>
      </w:r>
      <w:bookmarkEnd w:id="10"/>
      <w:bookmarkEnd w:id="11"/>
    </w:p>
    <w:p w14:paraId="617FC37B" w14:textId="77777777" w:rsidR="00E42A14" w:rsidRPr="006B0BDE" w:rsidRDefault="00487E8F" w:rsidP="00845F6F">
      <w:r w:rsidRPr="006B0BDE">
        <w:t xml:space="preserve">Basierend auf dem Tätigkeitsbereich sind die Informationssicherheitsziele der </w:t>
      </w:r>
      <w:r w:rsidR="00517291" w:rsidRPr="006B0BDE">
        <w:rPr>
          <w:highlight w:val="yellow"/>
        </w:rPr>
        <w:t>&lt;Institution&gt;</w:t>
      </w:r>
      <w:r w:rsidRPr="006B0BDE">
        <w:t xml:space="preserve"> der Schutz der Verfügbarkeit, Vertraulichkeit und Integrität der anvertrauten sowie eigenen Daten und Informationen. Darüber hinaus werden die gesetzlichen, vertraglichen und aufsichtsrechtlichen Vorgaben gewährleistet.</w:t>
      </w:r>
    </w:p>
    <w:p w14:paraId="7D7B32DA" w14:textId="77777777" w:rsidR="00E42A14" w:rsidRPr="006B0BDE" w:rsidRDefault="00487E8F" w:rsidP="00845F6F">
      <w:r w:rsidRPr="006B0BDE">
        <w:t>Als weiteres Sicherheitsziel gilt die Aufrechterhaltung des Geschäftsbetriebs durch die Gewährleistung von angemessenen Wiederanlauf- und Wiederherstellungszeiten im Rahmen des Notfallmanagement.</w:t>
      </w:r>
    </w:p>
    <w:p w14:paraId="7A5AC7FB" w14:textId="77777777" w:rsidR="00E42A14" w:rsidRPr="006B0BDE" w:rsidRDefault="00487E8F" w:rsidP="00845F6F">
      <w:r w:rsidRPr="006B0BDE">
        <w:t>Die Ziele der Informationssicherheit sind angemessen sicherzustellen. Angemessenheit meint hierbei die Berücksichtigung des jeweiligen Schutzbedarfs und die Beachtung der Sparsamkeit und Wirtschaftlichkeit bei der Implementierung von Sicherheitsmaßnahmen. Diese sollten in einem haushälterisch vertretbaren Verhältnis zu materiellen und immateriellen Schäden stehen, die durch die Verletzung der Ziele verursacht werden könnten.</w:t>
      </w:r>
    </w:p>
    <w:p w14:paraId="07B6F2E1" w14:textId="77777777" w:rsidR="00E42A14" w:rsidRPr="006B0BDE" w:rsidRDefault="00487E8F" w:rsidP="00845F6F">
      <w:pPr>
        <w:pStyle w:val="berschrift2"/>
      </w:pPr>
      <w:bookmarkStart w:id="12" w:name="_Toc74856130"/>
      <w:bookmarkStart w:id="13" w:name="_Toc74995253"/>
      <w:r w:rsidRPr="006B0BDE">
        <w:t>Sicherheitsstrategie</w:t>
      </w:r>
      <w:bookmarkEnd w:id="12"/>
      <w:bookmarkEnd w:id="13"/>
    </w:p>
    <w:p w14:paraId="10905D9C" w14:textId="77777777" w:rsidR="00E42A14" w:rsidRPr="006B0BDE" w:rsidRDefault="00487E8F" w:rsidP="00845F6F">
      <w:r w:rsidRPr="006B0BDE">
        <w:t xml:space="preserve">Um den regulatorischen und gesetzlichen Anforderungen gerecht zu werden, entwickelt die </w:t>
      </w:r>
      <w:r w:rsidR="00517291" w:rsidRPr="006B0BDE">
        <w:rPr>
          <w:highlight w:val="yellow"/>
        </w:rPr>
        <w:t>&lt;Institution&gt;</w:t>
      </w:r>
      <w:r w:rsidRPr="006B0BDE">
        <w:t xml:space="preserve"> ein ISO 27001 kompatibles Informationssicherheitsmanagementsystem (ISMS) auf Basis des BSI- Standards 200-1 „Managementsysteme für Informationssicherheit (ISMS)“ und unter Anwendung der BSI Standards 200-2 „IT-Grundschutz-Methodik“ und 200-3 „Risikomanagement“. Mit der Einführung vom ISMS soll den sich dynamisch ändernden gesetzlichen Vorschriften, technischen Innovationen, regulatorischen Vorgaben und Marktbedingungen entsprochen werden.</w:t>
      </w:r>
    </w:p>
    <w:p w14:paraId="0D63E22C" w14:textId="77777777" w:rsidR="00E42A14" w:rsidRPr="006B0BDE" w:rsidRDefault="00487E8F" w:rsidP="00845F6F">
      <w:r w:rsidRPr="006B0BDE">
        <w:t>Bezogen auf alle Verwaltungsprozesse lassen sich allgemein verbindlich nachfolgende Leitziele für das ISMS festschreiben:</w:t>
      </w:r>
    </w:p>
    <w:p w14:paraId="4BE863D0" w14:textId="77777777" w:rsidR="00E42A14" w:rsidRPr="00845F6F" w:rsidRDefault="00487E8F" w:rsidP="00845F6F">
      <w:pPr>
        <w:pStyle w:val="Listenabsatz"/>
        <w:numPr>
          <w:ilvl w:val="0"/>
          <w:numId w:val="1"/>
        </w:numPr>
        <w:rPr>
          <w:rFonts w:eastAsia="Times New Roman"/>
        </w:rPr>
      </w:pPr>
      <w:r w:rsidRPr="00845F6F">
        <w:rPr>
          <w:rFonts w:eastAsia="Times New Roman"/>
        </w:rPr>
        <w:t>Hohe Verlässlichkeit des Handelns</w:t>
      </w:r>
    </w:p>
    <w:p w14:paraId="2D49F463" w14:textId="77777777" w:rsidR="00E42A14" w:rsidRPr="00845F6F" w:rsidRDefault="00487E8F" w:rsidP="00845F6F">
      <w:pPr>
        <w:pStyle w:val="Listenabsatz"/>
        <w:numPr>
          <w:ilvl w:val="0"/>
          <w:numId w:val="1"/>
        </w:numPr>
        <w:rPr>
          <w:rFonts w:eastAsia="Times New Roman"/>
        </w:rPr>
      </w:pPr>
      <w:r w:rsidRPr="00845F6F">
        <w:rPr>
          <w:rFonts w:eastAsia="Times New Roman"/>
        </w:rPr>
        <w:lastRenderedPageBreak/>
        <w:t>Reduzierung des Haftungsrisikos der verantwortlichen Führungskräfte sowie aller Mitarbeitenden</w:t>
      </w:r>
    </w:p>
    <w:p w14:paraId="09313AEE" w14:textId="77777777" w:rsidR="00E42A14" w:rsidRPr="00845F6F" w:rsidRDefault="00487E8F" w:rsidP="00845F6F">
      <w:pPr>
        <w:pStyle w:val="Listenabsatz"/>
        <w:numPr>
          <w:ilvl w:val="0"/>
          <w:numId w:val="1"/>
        </w:numPr>
        <w:rPr>
          <w:rFonts w:eastAsia="Times New Roman"/>
        </w:rPr>
      </w:pPr>
      <w:r w:rsidRPr="00845F6F">
        <w:rPr>
          <w:rFonts w:eastAsia="Times New Roman"/>
        </w:rPr>
        <w:t>Reduzierung der im Schadensfall entstehenden Kosten</w:t>
      </w:r>
    </w:p>
    <w:p w14:paraId="40AE8272" w14:textId="77777777" w:rsidR="00E42A14" w:rsidRPr="00845F6F" w:rsidRDefault="00487E8F" w:rsidP="00845F6F">
      <w:pPr>
        <w:pStyle w:val="Listenabsatz"/>
        <w:numPr>
          <w:ilvl w:val="0"/>
          <w:numId w:val="1"/>
        </w:numPr>
        <w:rPr>
          <w:rFonts w:eastAsia="Times New Roman"/>
        </w:rPr>
      </w:pPr>
      <w:r w:rsidRPr="00845F6F">
        <w:rPr>
          <w:rFonts w:eastAsia="Times New Roman"/>
        </w:rPr>
        <w:t xml:space="preserve">Beitrag zur Sicherung der Geschäftskontinuität und damit des Erfolgs von der </w:t>
      </w:r>
      <w:r w:rsidR="00517291" w:rsidRPr="00845F6F">
        <w:rPr>
          <w:rFonts w:eastAsia="Times New Roman"/>
          <w:highlight w:val="yellow"/>
        </w:rPr>
        <w:t>&lt;Institution&gt;</w:t>
      </w:r>
    </w:p>
    <w:p w14:paraId="01CF1BEC" w14:textId="77777777" w:rsidR="00E42A14" w:rsidRPr="00845F6F" w:rsidRDefault="00487E8F" w:rsidP="00845F6F">
      <w:pPr>
        <w:pStyle w:val="Listenabsatz"/>
        <w:numPr>
          <w:ilvl w:val="0"/>
          <w:numId w:val="1"/>
        </w:numPr>
        <w:rPr>
          <w:rFonts w:eastAsia="Times New Roman"/>
        </w:rPr>
      </w:pPr>
      <w:r w:rsidRPr="00845F6F">
        <w:rPr>
          <w:rFonts w:eastAsia="Times New Roman"/>
        </w:rPr>
        <w:t>Zuverlässige Unterstützung und Sicherstellung der Kontinuität der digitalisierten Arbeitsabläufe</w:t>
      </w:r>
    </w:p>
    <w:p w14:paraId="016ECB4F" w14:textId="77777777" w:rsidR="00E42A14" w:rsidRPr="00845F6F" w:rsidRDefault="00487E8F" w:rsidP="00845F6F">
      <w:pPr>
        <w:pStyle w:val="Listenabsatz"/>
        <w:numPr>
          <w:ilvl w:val="0"/>
          <w:numId w:val="1"/>
        </w:numPr>
        <w:rPr>
          <w:rFonts w:eastAsia="Times New Roman"/>
        </w:rPr>
      </w:pPr>
      <w:r w:rsidRPr="00845F6F">
        <w:rPr>
          <w:rFonts w:eastAsia="Times New Roman"/>
        </w:rPr>
        <w:t>Sicherheits- und Kontrollumfang der IT-Systeme sind am jeweiligen Verfahrens- bzw. IT-Servicerisiko ausgerichtet</w:t>
      </w:r>
    </w:p>
    <w:p w14:paraId="127A4D60" w14:textId="77777777" w:rsidR="00E42A14" w:rsidRPr="00845F6F" w:rsidRDefault="00487E8F" w:rsidP="00845F6F">
      <w:pPr>
        <w:pStyle w:val="Listenabsatz"/>
        <w:numPr>
          <w:ilvl w:val="0"/>
          <w:numId w:val="1"/>
        </w:numPr>
        <w:rPr>
          <w:rFonts w:eastAsia="Times New Roman"/>
        </w:rPr>
      </w:pPr>
      <w:r w:rsidRPr="00845F6F">
        <w:rPr>
          <w:rFonts w:eastAsia="Times New Roman"/>
        </w:rPr>
        <w:t>Sensibilisierung und Stärkung des Sicherheitsbewusstseins bei allen Mitarbeitenden in Abhängigkeit ihrer Rolle und Verantwortlichkeit</w:t>
      </w:r>
    </w:p>
    <w:p w14:paraId="78F724C5" w14:textId="77777777" w:rsidR="00E42A14" w:rsidRPr="006B0BDE" w:rsidRDefault="00487E8F" w:rsidP="00845F6F">
      <w:pPr>
        <w:pStyle w:val="berschrift2"/>
      </w:pPr>
      <w:bookmarkStart w:id="14" w:name="_Toc74856131"/>
      <w:bookmarkStart w:id="15" w:name="_Toc74995254"/>
      <w:r w:rsidRPr="006B0BDE">
        <w:t>Geltungsbereich und Zuständigkeiten</w:t>
      </w:r>
      <w:bookmarkEnd w:id="14"/>
      <w:bookmarkEnd w:id="15"/>
    </w:p>
    <w:p w14:paraId="3C4AA2E4" w14:textId="77777777" w:rsidR="00E42A14" w:rsidRPr="006B0BDE" w:rsidRDefault="00487E8F" w:rsidP="00845F6F">
      <w:r w:rsidRPr="006B0BDE">
        <w:t xml:space="preserve">Die Leitlinie zur Informationssicherheit und die daraus abgeleiteten Dokumente gelten für die </w:t>
      </w:r>
      <w:r w:rsidR="00517291" w:rsidRPr="006B0BDE">
        <w:rPr>
          <w:highlight w:val="yellow"/>
        </w:rPr>
        <w:t>&lt;Institution&gt;</w:t>
      </w:r>
      <w:r w:rsidRPr="006B0BDE">
        <w:t xml:space="preserve">. Sie sind für jeden, der bei oder mit der </w:t>
      </w:r>
      <w:r w:rsidR="00517291" w:rsidRPr="006B0BDE">
        <w:rPr>
          <w:highlight w:val="yellow"/>
        </w:rPr>
        <w:t>&lt;Institution&gt;</w:t>
      </w:r>
      <w:r w:rsidRPr="006B0BDE">
        <w:t xml:space="preserve"> arbeitet (Mitarbeitende, Vertragspartner, Berater oder Zulieferer, etc.), verpflichtend. Die Einhaltung der dort aufgeführten Vorgaben durch Dritte ist durch interne Mitarbeitende sicherzustellen. Die Leitlinie zur Informationssicherheit gilt nicht nur für </w:t>
      </w:r>
      <w:r w:rsidR="004B168A" w:rsidRPr="006B0BDE">
        <w:t xml:space="preserve">die </w:t>
      </w:r>
      <w:r w:rsidRPr="006B0BDE">
        <w:t>elektronisch verarbeitete</w:t>
      </w:r>
      <w:r w:rsidR="004B168A" w:rsidRPr="006B0BDE">
        <w:t>n</w:t>
      </w:r>
      <w:r w:rsidRPr="006B0BDE">
        <w:t xml:space="preserve"> und gespeicherte</w:t>
      </w:r>
      <w:r w:rsidR="004B168A" w:rsidRPr="006B0BDE">
        <w:t>n</w:t>
      </w:r>
      <w:r w:rsidRPr="006B0BDE">
        <w:t xml:space="preserve"> Daten, sondern auch für in Papierform vorliegende Informationen.</w:t>
      </w:r>
    </w:p>
    <w:p w14:paraId="1657E484" w14:textId="6F76B5A0" w:rsidR="00E42A14" w:rsidRPr="006B0BDE" w:rsidRDefault="00487E8F" w:rsidP="00845F6F">
      <w:r w:rsidRPr="006B0BDE">
        <w:t xml:space="preserve">Durch eine </w:t>
      </w:r>
      <w:r w:rsidR="004B168A" w:rsidRPr="006B0BDE">
        <w:t xml:space="preserve">interne </w:t>
      </w:r>
      <w:r w:rsidRPr="006B0BDE">
        <w:t xml:space="preserve">Veröffentlichung der Leitlinie zur Informationssicherheit wird sichergestellt, dass die aktuell gültige Version allen Mitarbeitenden der </w:t>
      </w:r>
      <w:r w:rsidR="00517291" w:rsidRPr="006B0BDE">
        <w:rPr>
          <w:highlight w:val="yellow"/>
        </w:rPr>
        <w:t>&lt;Institution&gt;</w:t>
      </w:r>
      <w:r w:rsidRPr="006B0BDE">
        <w:t xml:space="preserve"> zur Verfügung steht. Es wird erwartet, dass jeder Mitarbeitende diese Leitlinie zur Informationssicherheit und die daraus abgeleiteten Standards und Sicherheitsrichtlinien beachtet. Jegliche Ausnahmen sind zu begründen, zu dokumentieren und bedürfen der expliziten Zustimmung durch den </w:t>
      </w:r>
      <w:r w:rsidR="004B168A" w:rsidRPr="006B0BDE">
        <w:rPr>
          <w:highlight w:val="yellow"/>
        </w:rPr>
        <w:t>&lt;</w:t>
      </w:r>
      <w:r w:rsidRPr="006B0BDE">
        <w:rPr>
          <w:highlight w:val="yellow"/>
        </w:rPr>
        <w:t>Information</w:t>
      </w:r>
      <w:r w:rsidR="005A70D1">
        <w:rPr>
          <w:highlight w:val="yellow"/>
        </w:rPr>
        <w:t>ssicherheitsbeauftragter</w:t>
      </w:r>
      <w:r w:rsidR="004B168A" w:rsidRPr="006B0BDE">
        <w:rPr>
          <w:highlight w:val="yellow"/>
        </w:rPr>
        <w:t>&gt;</w:t>
      </w:r>
      <w:r w:rsidRPr="006B0BDE">
        <w:rPr>
          <w:highlight w:val="yellow"/>
        </w:rPr>
        <w:t>.</w:t>
      </w:r>
      <w:r w:rsidRPr="006B0BDE">
        <w:t xml:space="preserve"> Sofern personenbezogene Daten betroffen sind, ist zusätzlich eine Zustimmung des </w:t>
      </w:r>
      <w:r w:rsidR="005A70D1" w:rsidRPr="006B0BDE">
        <w:rPr>
          <w:highlight w:val="yellow"/>
        </w:rPr>
        <w:t>&lt;Dat</w:t>
      </w:r>
      <w:r w:rsidR="005A70D1">
        <w:rPr>
          <w:highlight w:val="yellow"/>
        </w:rPr>
        <w:t>enschutzbeauftragter</w:t>
      </w:r>
      <w:r w:rsidR="005A70D1" w:rsidRPr="006B0BDE">
        <w:rPr>
          <w:highlight w:val="yellow"/>
        </w:rPr>
        <w:t>&gt;</w:t>
      </w:r>
      <w:r w:rsidRPr="006B0BDE">
        <w:t xml:space="preserve"> erforderlich.</w:t>
      </w:r>
    </w:p>
    <w:p w14:paraId="44E64DB5" w14:textId="77777777" w:rsidR="00E42A14" w:rsidRPr="006B0BDE" w:rsidRDefault="00487E8F" w:rsidP="00845F6F">
      <w:pPr>
        <w:pStyle w:val="berschrift2"/>
      </w:pPr>
      <w:bookmarkStart w:id="16" w:name="_Toc74856132"/>
      <w:bookmarkStart w:id="17" w:name="_Toc74995255"/>
      <w:r w:rsidRPr="006B0BDE">
        <w:t>Genehmigungs- und Änderungsverfahren</w:t>
      </w:r>
      <w:bookmarkEnd w:id="16"/>
      <w:bookmarkEnd w:id="17"/>
    </w:p>
    <w:p w14:paraId="523FE39B" w14:textId="1C9282B5" w:rsidR="00E42A14" w:rsidRPr="006B0BDE" w:rsidRDefault="00487E8F" w:rsidP="00845F6F">
      <w:r w:rsidRPr="006B0BDE">
        <w:t xml:space="preserve">Das Dokument „Leitlinie zur Informationssicherheit“ wird durch die Geschäftsführung verantwortet. Die Pflege dieses Dokuments unterliegt dem </w:t>
      </w:r>
      <w:r w:rsidR="004B168A" w:rsidRPr="006B0BDE">
        <w:rPr>
          <w:highlight w:val="yellow"/>
        </w:rPr>
        <w:t>&lt;</w:t>
      </w:r>
      <w:r w:rsidRPr="006B0BDE">
        <w:rPr>
          <w:highlight w:val="yellow"/>
        </w:rPr>
        <w:t xml:space="preserve">Bereich </w:t>
      </w:r>
      <w:r w:rsidR="004B168A" w:rsidRPr="006B0BDE">
        <w:rPr>
          <w:highlight w:val="yellow"/>
        </w:rPr>
        <w:t>???&gt;</w:t>
      </w:r>
      <w:r w:rsidRPr="006B0BDE">
        <w:t xml:space="preserve"> vertreten durch den </w:t>
      </w:r>
      <w:r w:rsidR="004B168A" w:rsidRPr="006B0BDE">
        <w:rPr>
          <w:highlight w:val="yellow"/>
        </w:rPr>
        <w:t>&lt;</w:t>
      </w:r>
      <w:r w:rsidR="009D5026">
        <w:rPr>
          <w:highlight w:val="yellow"/>
        </w:rPr>
        <w:t>Informationssicherheitsbeauftragten</w:t>
      </w:r>
      <w:r w:rsidR="004B168A" w:rsidRPr="006B0BDE">
        <w:rPr>
          <w:highlight w:val="yellow"/>
        </w:rPr>
        <w:t>&gt;</w:t>
      </w:r>
      <w:r w:rsidRPr="006B0BDE">
        <w:t xml:space="preserve">. Änderungen werden ausschließlich von dieser Person vorgenommen. Eine Genehmigung und Freigabe </w:t>
      </w:r>
      <w:proofErr w:type="gramStart"/>
      <w:r w:rsidRPr="006B0BDE">
        <w:t>erfolgt</w:t>
      </w:r>
      <w:proofErr w:type="gramEnd"/>
      <w:r w:rsidRPr="006B0BDE">
        <w:t xml:space="preserve"> durch die Geschäftsführung.</w:t>
      </w:r>
    </w:p>
    <w:p w14:paraId="780B9CC1" w14:textId="77777777" w:rsidR="00E42A14" w:rsidRPr="006B0BDE" w:rsidRDefault="00487E8F" w:rsidP="00845F6F">
      <w:pPr>
        <w:pStyle w:val="berschrift1"/>
      </w:pPr>
      <w:bookmarkStart w:id="18" w:name="_Toc74856133"/>
      <w:bookmarkStart w:id="19" w:name="_Toc74995256"/>
      <w:r w:rsidRPr="006B0BDE">
        <w:t>Gesamtverantwortung für das Informationssicherheitsmanagement</w:t>
      </w:r>
      <w:bookmarkEnd w:id="18"/>
      <w:bookmarkEnd w:id="19"/>
    </w:p>
    <w:p w14:paraId="70898415" w14:textId="77777777" w:rsidR="00E42A14" w:rsidRPr="006B0BDE" w:rsidRDefault="00487E8F" w:rsidP="00845F6F">
      <w:r w:rsidRPr="006B0BDE">
        <w:t xml:space="preserve">Die Gesamtverantwortung für die Informationssicherheit liegt bei der Geschäftsführung der </w:t>
      </w:r>
      <w:r w:rsidR="00517291" w:rsidRPr="006B0BDE">
        <w:rPr>
          <w:highlight w:val="yellow"/>
        </w:rPr>
        <w:t>&lt;Institution&gt;</w:t>
      </w:r>
      <w:r w:rsidRPr="006B0BDE">
        <w:t>. Zur angemessenen Entwicklung, Einführung, Weiterentwicklung und Betrieb eines ISMS sowie zur Gewährleistung der definierten Sicherheitsziele wird ein Informationssicherheitsmanagement eingesetzt. Das Informationssicherheitsmanagement wird in seiner Aufgabe durch die Geschäftsführung angemessen unterstützt.</w:t>
      </w:r>
    </w:p>
    <w:p w14:paraId="669D1017" w14:textId="77777777" w:rsidR="00E42A14" w:rsidRPr="006B0BDE" w:rsidRDefault="00487E8F" w:rsidP="00845F6F">
      <w:pPr>
        <w:pStyle w:val="berschrift2"/>
      </w:pPr>
      <w:bookmarkStart w:id="20" w:name="_Toc74856134"/>
      <w:bookmarkStart w:id="21" w:name="_Toc74995257"/>
      <w:r w:rsidRPr="006B0BDE">
        <w:lastRenderedPageBreak/>
        <w:t>Rollen und Gremien</w:t>
      </w:r>
      <w:bookmarkEnd w:id="20"/>
      <w:bookmarkEnd w:id="21"/>
    </w:p>
    <w:p w14:paraId="327F22F0" w14:textId="77777777" w:rsidR="00E42A14" w:rsidRPr="006B0BDE" w:rsidRDefault="00487E8F" w:rsidP="00845F6F">
      <w:r w:rsidRPr="006B0BDE">
        <w:t xml:space="preserve">Um den vielseitigen Ansprüchen und Sicherheitszielen der </w:t>
      </w:r>
      <w:r w:rsidR="00517291" w:rsidRPr="006B0BDE">
        <w:rPr>
          <w:highlight w:val="yellow"/>
        </w:rPr>
        <w:t>&lt;Institution&gt;</w:t>
      </w:r>
      <w:r w:rsidRPr="006B0BDE">
        <w:t xml:space="preserve"> zu entsprechen, setzt sich das Informationssicherheitsmanagement aus mehreren Rollen zusammen. Die Aufgaben und Befugnisse der einzelnen Rollen, werden im Standard „Rollen und Gremien“ weiter detailliert.</w:t>
      </w:r>
    </w:p>
    <w:p w14:paraId="526C3032" w14:textId="196B8164" w:rsidR="00E42A14" w:rsidRPr="006B0BDE" w:rsidRDefault="009D5026" w:rsidP="00845F6F">
      <w:pPr>
        <w:pStyle w:val="berschrift3"/>
      </w:pPr>
      <w:bookmarkStart w:id="22" w:name="_Toc74995258"/>
      <w:r w:rsidRPr="009D5026">
        <w:rPr>
          <w:highlight w:val="yellow"/>
        </w:rPr>
        <w:t>&lt;Informationssicherheitsbeauftragten&gt;</w:t>
      </w:r>
      <w:bookmarkEnd w:id="22"/>
    </w:p>
    <w:p w14:paraId="1B81D44B" w14:textId="461E8EFE" w:rsidR="00E42A14" w:rsidRPr="006B0BDE" w:rsidRDefault="00487E8F" w:rsidP="00845F6F">
      <w:r w:rsidRPr="006B0BDE">
        <w:t xml:space="preserve">Der </w:t>
      </w:r>
      <w:r w:rsidR="009D5026" w:rsidRPr="009D5026">
        <w:rPr>
          <w:highlight w:val="yellow"/>
        </w:rPr>
        <w:t>&lt;Informationssicherheitsbeauftragten&gt;</w:t>
      </w:r>
      <w:r w:rsidR="009D5026">
        <w:t xml:space="preserve"> </w:t>
      </w:r>
      <w:r w:rsidRPr="006B0BDE">
        <w:t xml:space="preserve">ist für die Entwicklung, Einführung, Weiterentwicklung und den Betrieb vom ISMS verantwortlich. Seine Aufgabe ist es, die Einhaltung der gesetzten Sicherheitsziele der </w:t>
      </w:r>
      <w:r w:rsidR="00517291" w:rsidRPr="006B0BDE">
        <w:rPr>
          <w:highlight w:val="yellow"/>
        </w:rPr>
        <w:t>&lt;Institution&gt;</w:t>
      </w:r>
      <w:r w:rsidRPr="006B0BDE">
        <w:t xml:space="preserve"> zu gewährleisten.</w:t>
      </w:r>
    </w:p>
    <w:p w14:paraId="5EBA0AD3" w14:textId="4C5DFD41" w:rsidR="00E42A14" w:rsidRPr="006B0BDE" w:rsidRDefault="00487E8F" w:rsidP="00845F6F">
      <w:r w:rsidRPr="006B0BDE">
        <w:t xml:space="preserve">Der </w:t>
      </w:r>
      <w:r w:rsidR="009D5026" w:rsidRPr="009D5026">
        <w:rPr>
          <w:highlight w:val="yellow"/>
        </w:rPr>
        <w:t>&lt;Informationssicherheitsbeauftragten&gt;</w:t>
      </w:r>
      <w:r w:rsidRPr="006B0BDE">
        <w:t xml:space="preserve"> ist befugt, sämtliche hierfür erforderlichen Regelungen, Konzepte und Maßnahmen zu entwickeln und einzuführen. Er ist in Abstimmung mit der Geschäftsführung ermächtigt, IT-Anwendungen ganz oder zeitweise einzustellen, wenn die Sicherheitsziele von der </w:t>
      </w:r>
      <w:r w:rsidR="00517291" w:rsidRPr="006B0BDE">
        <w:rPr>
          <w:highlight w:val="yellow"/>
        </w:rPr>
        <w:t>&lt;Institution&gt;</w:t>
      </w:r>
      <w:r w:rsidRPr="006B0BDE">
        <w:t xml:space="preserve"> gefährdet sind. Im Falle einer Gefahr im Verzuge kann er auch ohne Abstimmung mit der Geschäftsführung eigenmächtig die Abschaltung von IT-Anwendungen und IT-Systemen verfügen, diese Entscheidung ist dann zeitnah mit der Geschäftsführung zu überprüfen.</w:t>
      </w:r>
    </w:p>
    <w:p w14:paraId="223E28BB" w14:textId="695A536C" w:rsidR="00E42A14" w:rsidRPr="006B0BDE" w:rsidRDefault="00487E8F" w:rsidP="00845F6F">
      <w:r w:rsidRPr="006B0BDE">
        <w:t xml:space="preserve">Der </w:t>
      </w:r>
      <w:r w:rsidR="009D5026" w:rsidRPr="009D5026">
        <w:rPr>
          <w:highlight w:val="yellow"/>
        </w:rPr>
        <w:t>&lt;Informationssicherheitsbeauftragten&gt;</w:t>
      </w:r>
      <w:r w:rsidRPr="006B0BDE">
        <w:t xml:space="preserve"> ist in dieser Funktion organisatorisch dem </w:t>
      </w:r>
      <w:r w:rsidR="004B168A" w:rsidRPr="006B0BDE">
        <w:rPr>
          <w:highlight w:val="yellow"/>
        </w:rPr>
        <w:t xml:space="preserve">&lt;CEO oder </w:t>
      </w:r>
      <w:r w:rsidRPr="006B0BDE">
        <w:rPr>
          <w:highlight w:val="yellow"/>
        </w:rPr>
        <w:t>CFO</w:t>
      </w:r>
      <w:r w:rsidR="004B168A" w:rsidRPr="006B0BDE">
        <w:rPr>
          <w:highlight w:val="yellow"/>
        </w:rPr>
        <w:t xml:space="preserve"> oder CTO&gt;</w:t>
      </w:r>
      <w:r w:rsidRPr="006B0BDE">
        <w:t xml:space="preserve"> unterstellt und hat direktes Vortragsrecht bei der Geschäftsführung. Er verantwortet seine Handlungen gegenüber der Geschäftsführung der </w:t>
      </w:r>
      <w:r w:rsidR="00517291" w:rsidRPr="006B0BDE">
        <w:rPr>
          <w:highlight w:val="yellow"/>
        </w:rPr>
        <w:t>&lt;Institution&gt;</w:t>
      </w:r>
      <w:r w:rsidRPr="006B0BDE">
        <w:t>.</w:t>
      </w:r>
    </w:p>
    <w:p w14:paraId="45AD4CE0" w14:textId="7C44260A" w:rsidR="00E42A14" w:rsidRPr="006B0BDE" w:rsidRDefault="004B168A" w:rsidP="00845F6F">
      <w:pPr>
        <w:pStyle w:val="berschrift3"/>
      </w:pPr>
      <w:bookmarkStart w:id="23" w:name="_Toc74856136"/>
      <w:bookmarkStart w:id="24" w:name="_Toc74995259"/>
      <w:r w:rsidRPr="006B0BDE">
        <w:rPr>
          <w:highlight w:val="yellow"/>
        </w:rPr>
        <w:t>&lt;Dat</w:t>
      </w:r>
      <w:r w:rsidR="009D5026">
        <w:rPr>
          <w:highlight w:val="yellow"/>
        </w:rPr>
        <w:t>enschutzbeauftragter</w:t>
      </w:r>
      <w:r w:rsidRPr="006B0BDE">
        <w:rPr>
          <w:highlight w:val="yellow"/>
        </w:rPr>
        <w:t>&gt;</w:t>
      </w:r>
      <w:bookmarkEnd w:id="23"/>
      <w:bookmarkEnd w:id="24"/>
    </w:p>
    <w:p w14:paraId="246AF708" w14:textId="20C0CC74" w:rsidR="00E42A14" w:rsidRPr="006B0BDE" w:rsidRDefault="00487E8F" w:rsidP="00845F6F">
      <w:r w:rsidRPr="006B0BDE">
        <w:t xml:space="preserve">Der </w:t>
      </w:r>
      <w:r w:rsidR="004B168A" w:rsidRPr="006B0BDE">
        <w:rPr>
          <w:highlight w:val="yellow"/>
        </w:rPr>
        <w:t>&lt;Dat</w:t>
      </w:r>
      <w:r w:rsidR="009D5026">
        <w:rPr>
          <w:highlight w:val="yellow"/>
        </w:rPr>
        <w:t>enschutzbeauftragter</w:t>
      </w:r>
      <w:r w:rsidR="004B168A" w:rsidRPr="006B0BDE">
        <w:rPr>
          <w:highlight w:val="yellow"/>
        </w:rPr>
        <w:t>&gt;</w:t>
      </w:r>
      <w:r w:rsidR="004B168A" w:rsidRPr="006B0BDE">
        <w:t xml:space="preserve"> </w:t>
      </w:r>
      <w:r w:rsidRPr="006B0BDE">
        <w:t>ist in seiner Funktion direkt der Geschäftsführung unterstellt. Er ist bei der Ausübung seiner Fachkunde auf dem Gebiet des Datenschutzes weisungsfrei. Er berät die Geschäftsführung und stimmt sich mit ihr über die Umsetzung notwendiger Maßnahmen ab. Er hat direktes Vortragsrecht bei der Geschäftsführung.</w:t>
      </w:r>
    </w:p>
    <w:p w14:paraId="3693B696" w14:textId="23FA461B" w:rsidR="00E42A14" w:rsidRPr="006B0BDE" w:rsidRDefault="00487E8F" w:rsidP="00845F6F">
      <w:r w:rsidRPr="006B0BDE">
        <w:t xml:space="preserve">Der </w:t>
      </w:r>
      <w:r w:rsidR="005A70D1" w:rsidRPr="006B0BDE">
        <w:rPr>
          <w:highlight w:val="yellow"/>
        </w:rPr>
        <w:t>&lt;Dat</w:t>
      </w:r>
      <w:r w:rsidR="005A70D1">
        <w:rPr>
          <w:highlight w:val="yellow"/>
        </w:rPr>
        <w:t>enschutzbeauftragter</w:t>
      </w:r>
      <w:r w:rsidR="005A70D1" w:rsidRPr="006B0BDE">
        <w:rPr>
          <w:highlight w:val="yellow"/>
        </w:rPr>
        <w:t>&gt;</w:t>
      </w:r>
      <w:r w:rsidR="004B168A" w:rsidRPr="006B0BDE">
        <w:t xml:space="preserve"> </w:t>
      </w:r>
      <w:r w:rsidRPr="006B0BDE">
        <w:t xml:space="preserve">ist ermächtigt, Audits für den Aufschluss über tatsächliche Einhaltung der Datenschutzziele durchzuführen. Der </w:t>
      </w:r>
      <w:r w:rsidR="005A70D1" w:rsidRPr="006B0BDE">
        <w:rPr>
          <w:highlight w:val="yellow"/>
        </w:rPr>
        <w:t>&lt;Dat</w:t>
      </w:r>
      <w:r w:rsidR="005A70D1">
        <w:rPr>
          <w:highlight w:val="yellow"/>
        </w:rPr>
        <w:t>enschutzbeauftragter</w:t>
      </w:r>
      <w:r w:rsidR="005A70D1" w:rsidRPr="006B0BDE">
        <w:rPr>
          <w:highlight w:val="yellow"/>
        </w:rPr>
        <w:t>&gt;</w:t>
      </w:r>
      <w:r w:rsidR="004B168A" w:rsidRPr="006B0BDE">
        <w:t xml:space="preserve"> </w:t>
      </w:r>
      <w:r w:rsidRPr="006B0BDE">
        <w:t>ist darüber hinaus befugt, bei externen Dienstleistern Datenschutzaudits durchzuführen. Zu diesem Zweck sind entsprechende Vertragsklauseln in den Verträgen mit den externen Dienstleistern vorzusehen.</w:t>
      </w:r>
    </w:p>
    <w:p w14:paraId="5BD079AC" w14:textId="2EE964B9" w:rsidR="00E42A14" w:rsidRPr="006B0BDE" w:rsidRDefault="00487E8F" w:rsidP="00845F6F">
      <w:r w:rsidRPr="006B0BDE">
        <w:t xml:space="preserve">Der </w:t>
      </w:r>
      <w:r w:rsidR="005A70D1" w:rsidRPr="006B0BDE">
        <w:rPr>
          <w:highlight w:val="yellow"/>
        </w:rPr>
        <w:t>&lt;Dat</w:t>
      </w:r>
      <w:r w:rsidR="005A70D1">
        <w:rPr>
          <w:highlight w:val="yellow"/>
        </w:rPr>
        <w:t>enschutzbeauftragter</w:t>
      </w:r>
      <w:r w:rsidR="005A70D1" w:rsidRPr="006B0BDE">
        <w:rPr>
          <w:highlight w:val="yellow"/>
        </w:rPr>
        <w:t>&gt;</w:t>
      </w:r>
      <w:r w:rsidR="004B168A" w:rsidRPr="006B0BDE">
        <w:t xml:space="preserve"> </w:t>
      </w:r>
      <w:r w:rsidRPr="006B0BDE">
        <w:t xml:space="preserve">hat im erforderlichen Umfang seines Aufgabenbereichs in Abstimmung mit der Geschäftsführung das permanente Zutrittsrecht zu allen Stellen in der </w:t>
      </w:r>
      <w:r w:rsidR="00517291" w:rsidRPr="006B0BDE">
        <w:rPr>
          <w:highlight w:val="yellow"/>
        </w:rPr>
        <w:t>&lt;Institution&gt;</w:t>
      </w:r>
      <w:r w:rsidRPr="006B0BDE">
        <w:t>.</w:t>
      </w:r>
    </w:p>
    <w:p w14:paraId="67D8ABE0" w14:textId="3246EA66" w:rsidR="00E42A14" w:rsidRPr="006B0BDE" w:rsidRDefault="005A70D1" w:rsidP="00845F6F">
      <w:pPr>
        <w:pStyle w:val="berschrift3"/>
      </w:pPr>
      <w:bookmarkStart w:id="25" w:name="_Toc74856137"/>
      <w:bookmarkStart w:id="26" w:name="_Toc74995260"/>
      <w:r w:rsidRPr="005A70D1">
        <w:rPr>
          <w:highlight w:val="yellow"/>
        </w:rPr>
        <w:t>&lt;</w:t>
      </w:r>
      <w:r w:rsidR="00487E8F" w:rsidRPr="005A70D1">
        <w:rPr>
          <w:highlight w:val="yellow"/>
        </w:rPr>
        <w:t>Information</w:t>
      </w:r>
      <w:r w:rsidRPr="005A70D1">
        <w:rPr>
          <w:highlight w:val="yellow"/>
        </w:rPr>
        <w:t>ssicherheitsteam</w:t>
      </w:r>
      <w:bookmarkEnd w:id="25"/>
      <w:r w:rsidRPr="005A70D1">
        <w:rPr>
          <w:highlight w:val="yellow"/>
        </w:rPr>
        <w:t>&gt;</w:t>
      </w:r>
      <w:bookmarkEnd w:id="26"/>
    </w:p>
    <w:p w14:paraId="7E469BE5" w14:textId="4AF88191" w:rsidR="00E42A14" w:rsidRPr="006B0BDE" w:rsidRDefault="00487E8F" w:rsidP="00845F6F">
      <w:r w:rsidRPr="006B0BDE">
        <w:t xml:space="preserve">Aufgrund der engen Verzahnung der Themen und den Unternehmenszielen der </w:t>
      </w:r>
      <w:r w:rsidR="00517291" w:rsidRPr="006B0BDE">
        <w:rPr>
          <w:highlight w:val="yellow"/>
        </w:rPr>
        <w:t>&lt;Institution&gt;</w:t>
      </w:r>
      <w:r w:rsidRPr="006B0BDE">
        <w:t xml:space="preserve"> wird ein Information</w:t>
      </w:r>
      <w:r w:rsidR="005A70D1">
        <w:t>ssicherheitsteam</w:t>
      </w:r>
      <w:r w:rsidRPr="006B0BDE">
        <w:t xml:space="preserve"> gebildet. Es unterstützt die etablierten Rollen </w:t>
      </w:r>
      <w:r w:rsidR="005A70D1" w:rsidRPr="006B0BDE">
        <w:t>gemäß dem Standard</w:t>
      </w:r>
      <w:r w:rsidRPr="006B0BDE">
        <w:t xml:space="preserve"> "Rollen und Gremien“ bei der Gewährleistung der Sicherheitsziele.</w:t>
      </w:r>
    </w:p>
    <w:p w14:paraId="75D79321" w14:textId="77777777" w:rsidR="00E42A14" w:rsidRPr="006B0BDE" w:rsidRDefault="00487E8F" w:rsidP="00845F6F">
      <w:pPr>
        <w:pStyle w:val="berschrift2"/>
      </w:pPr>
      <w:bookmarkStart w:id="27" w:name="_Toc74856138"/>
      <w:bookmarkStart w:id="28" w:name="_Toc74995261"/>
      <w:r w:rsidRPr="006B0BDE">
        <w:lastRenderedPageBreak/>
        <w:t>Regelungsstruktur</w:t>
      </w:r>
      <w:bookmarkEnd w:id="27"/>
      <w:bookmarkEnd w:id="28"/>
    </w:p>
    <w:p w14:paraId="6A344B67" w14:textId="77777777" w:rsidR="00E42A14" w:rsidRPr="006B0BDE" w:rsidRDefault="00487E8F" w:rsidP="00845F6F">
      <w:r w:rsidRPr="006B0BDE">
        <w:t>Die Dokumentationsstruktur des Informationssicherheitsmanagements wird durch eine hierarchische Regelungsstruktur abgebildet. Sie legt 4 Ebenen fest, die sich an einer Top-Down-Architektur orientieren.</w:t>
      </w:r>
    </w:p>
    <w:p w14:paraId="733D9657" w14:textId="77777777" w:rsidR="00E42A14" w:rsidRPr="006B0BDE" w:rsidRDefault="00487E8F" w:rsidP="00845F6F">
      <w:r w:rsidRPr="006B0BDE">
        <w:t xml:space="preserve">Jede Ebene der Sicherheitsdokumentation ist verantwortlichen Einheiten in der </w:t>
      </w:r>
      <w:r w:rsidR="00517291" w:rsidRPr="006B0BDE">
        <w:rPr>
          <w:highlight w:val="yellow"/>
        </w:rPr>
        <w:t>&lt;Institution&gt;</w:t>
      </w:r>
      <w:r w:rsidRPr="006B0BDE">
        <w:t xml:space="preserve"> und Dienstleistungserbringern zugeordnet, die federführend die Sicherheitsdokumentation auf der jeweiligen Ebene und in der entsprechenden Detailtiefe erstellen, pflegen und gewährleisten.</w:t>
      </w:r>
    </w:p>
    <w:p w14:paraId="1CBD8556" w14:textId="77777777" w:rsidR="00E42A14" w:rsidRPr="006B0BDE" w:rsidRDefault="00487E8F" w:rsidP="00845F6F">
      <w:r w:rsidRPr="006B0BDE">
        <w:t xml:space="preserve">Die Ebene 1 wird durch die </w:t>
      </w:r>
      <w:r w:rsidR="00237ECF" w:rsidRPr="006B0BDE">
        <w:t>„</w:t>
      </w:r>
      <w:r w:rsidRPr="006B0BDE">
        <w:t>Leitlinie zur Informationssicherheit</w:t>
      </w:r>
      <w:r w:rsidR="00237ECF" w:rsidRPr="006B0BDE">
        <w:t>“</w:t>
      </w:r>
      <w:r w:rsidRPr="006B0BDE">
        <w:t xml:space="preserve"> repräsentiert. Die Ebene 2 beinhaltet </w:t>
      </w:r>
      <w:r w:rsidR="00237ECF" w:rsidRPr="006B0BDE">
        <w:rPr>
          <w:highlight w:val="yellow"/>
        </w:rPr>
        <w:t>&lt;Institution&gt;</w:t>
      </w:r>
      <w:r w:rsidRPr="006B0BDE">
        <w:t xml:space="preserve">-eigene Standards, mit denen die Anforderungen an die Umsetzung der Informationssicherheit festgelegt werden. Mit den Sicherheitsrichtlinien der Ebene 3 werden diese Anforderungen hinsichtlich ihrer Umsetzung detailliert. Die Ebene 4 wird durch die Konzepte und Dokumentationen der internen oder externen Dienstleistungserbringer anhand der steuernden Vorgaben der übergeordneten Ebenen gebildet und durch das Informationssicherheitsmanagement der </w:t>
      </w:r>
      <w:r w:rsidR="00517291" w:rsidRPr="006B0BDE">
        <w:rPr>
          <w:highlight w:val="yellow"/>
        </w:rPr>
        <w:t>&lt;Institution&gt;</w:t>
      </w:r>
      <w:r w:rsidRPr="006B0BDE">
        <w:t xml:space="preserve"> regelmäßig kontrolliert.</w:t>
      </w:r>
    </w:p>
    <w:p w14:paraId="2DB1064A" w14:textId="77777777" w:rsidR="00E42A14" w:rsidRPr="006B0BDE" w:rsidRDefault="00487E8F" w:rsidP="00845F6F">
      <w:pPr>
        <w:pStyle w:val="berschrift1"/>
      </w:pPr>
      <w:bookmarkStart w:id="29" w:name="_Toc74856139"/>
      <w:bookmarkStart w:id="30" w:name="_Toc74995262"/>
      <w:r w:rsidRPr="006B0BDE">
        <w:t>Verstöße und Sanktionen</w:t>
      </w:r>
      <w:bookmarkEnd w:id="29"/>
      <w:bookmarkEnd w:id="30"/>
    </w:p>
    <w:p w14:paraId="7B4B1ABF" w14:textId="77777777" w:rsidR="00E42A14" w:rsidRPr="006B0BDE" w:rsidRDefault="00487E8F" w:rsidP="00845F6F">
      <w:r w:rsidRPr="006B0BDE">
        <w:t xml:space="preserve">Als Verstöße gegen die </w:t>
      </w:r>
      <w:r w:rsidR="00237ECF" w:rsidRPr="006B0BDE">
        <w:t>„</w:t>
      </w:r>
      <w:r w:rsidRPr="006B0BDE">
        <w:t>Leitlinie zur Informationssicherheit</w:t>
      </w:r>
      <w:r w:rsidR="00237ECF" w:rsidRPr="006B0BDE">
        <w:t>“</w:t>
      </w:r>
      <w:r w:rsidRPr="006B0BDE">
        <w:t xml:space="preserve"> gelten vorsätzliche oder grob fahrlässige Handlungen,</w:t>
      </w:r>
    </w:p>
    <w:p w14:paraId="0B4E17BD" w14:textId="77777777" w:rsidR="00E42A14" w:rsidRPr="00845F6F" w:rsidRDefault="00487E8F" w:rsidP="00845F6F">
      <w:pPr>
        <w:pStyle w:val="Listenabsatz"/>
        <w:numPr>
          <w:ilvl w:val="0"/>
          <w:numId w:val="2"/>
        </w:numPr>
        <w:rPr>
          <w:rFonts w:eastAsia="Times New Roman"/>
        </w:rPr>
      </w:pPr>
      <w:r w:rsidRPr="00845F6F">
        <w:rPr>
          <w:rFonts w:eastAsia="Times New Roman"/>
        </w:rPr>
        <w:t>welche die Missachtung gesetzlicher Vorgaben darstellen,</w:t>
      </w:r>
    </w:p>
    <w:p w14:paraId="4DF154FF" w14:textId="77777777" w:rsidR="00E42A14" w:rsidRPr="00845F6F" w:rsidRDefault="00487E8F" w:rsidP="00845F6F">
      <w:pPr>
        <w:pStyle w:val="Listenabsatz"/>
        <w:numPr>
          <w:ilvl w:val="0"/>
          <w:numId w:val="2"/>
        </w:numPr>
        <w:rPr>
          <w:rFonts w:eastAsia="Times New Roman"/>
        </w:rPr>
      </w:pPr>
      <w:r w:rsidRPr="00845F6F">
        <w:rPr>
          <w:rFonts w:eastAsia="Times New Roman"/>
        </w:rPr>
        <w:t>die den unberechtigten Zugriff auf Informationen, deren Preisgabe und/oder Änderung beinhalten,</w:t>
      </w:r>
    </w:p>
    <w:p w14:paraId="3E56A257" w14:textId="77777777" w:rsidR="00E42A14" w:rsidRPr="00845F6F" w:rsidRDefault="00487E8F" w:rsidP="00845F6F">
      <w:pPr>
        <w:pStyle w:val="Listenabsatz"/>
        <w:numPr>
          <w:ilvl w:val="0"/>
          <w:numId w:val="2"/>
        </w:numPr>
        <w:rPr>
          <w:rFonts w:eastAsia="Times New Roman"/>
        </w:rPr>
      </w:pPr>
      <w:r w:rsidRPr="00845F6F">
        <w:rPr>
          <w:rFonts w:eastAsia="Times New Roman"/>
        </w:rPr>
        <w:t xml:space="preserve">welche die Nutzung von Informationen der </w:t>
      </w:r>
      <w:r w:rsidR="00517291" w:rsidRPr="00845F6F">
        <w:rPr>
          <w:rFonts w:eastAsia="Times New Roman"/>
          <w:highlight w:val="yellow"/>
        </w:rPr>
        <w:t>&lt;Institution&gt;</w:t>
      </w:r>
      <w:r w:rsidRPr="00845F6F">
        <w:rPr>
          <w:rFonts w:eastAsia="Times New Roman"/>
        </w:rPr>
        <w:t xml:space="preserve"> für illegale Zwecke beinhalten,</w:t>
      </w:r>
    </w:p>
    <w:p w14:paraId="1C9EA612" w14:textId="77777777" w:rsidR="00E42A14" w:rsidRPr="00845F6F" w:rsidRDefault="00487E8F" w:rsidP="00845F6F">
      <w:pPr>
        <w:pStyle w:val="Listenabsatz"/>
        <w:numPr>
          <w:ilvl w:val="0"/>
          <w:numId w:val="2"/>
        </w:numPr>
        <w:rPr>
          <w:rFonts w:eastAsia="Times New Roman"/>
        </w:rPr>
      </w:pPr>
      <w:r w:rsidRPr="00845F6F">
        <w:rPr>
          <w:rFonts w:eastAsia="Times New Roman"/>
        </w:rPr>
        <w:t xml:space="preserve">Zuwiderhandlungen gegen die Verschwiegenheitserklärung der </w:t>
      </w:r>
      <w:r w:rsidR="00517291" w:rsidRPr="00845F6F">
        <w:rPr>
          <w:rFonts w:eastAsia="Times New Roman"/>
          <w:highlight w:val="yellow"/>
        </w:rPr>
        <w:t>&lt;Institution&gt;</w:t>
      </w:r>
      <w:r w:rsidRPr="00845F6F">
        <w:rPr>
          <w:rFonts w:eastAsia="Times New Roman"/>
        </w:rPr>
        <w:t>,</w:t>
      </w:r>
    </w:p>
    <w:p w14:paraId="0D55B870" w14:textId="77777777" w:rsidR="00E42A14" w:rsidRPr="00845F6F" w:rsidRDefault="00487E8F" w:rsidP="00845F6F">
      <w:pPr>
        <w:pStyle w:val="Listenabsatz"/>
        <w:numPr>
          <w:ilvl w:val="0"/>
          <w:numId w:val="2"/>
        </w:numPr>
        <w:rPr>
          <w:rFonts w:eastAsia="Times New Roman"/>
        </w:rPr>
      </w:pPr>
      <w:r w:rsidRPr="00845F6F">
        <w:rPr>
          <w:rFonts w:eastAsia="Times New Roman"/>
        </w:rPr>
        <w:t xml:space="preserve">die Sicherheit der Mitarbeitenden, Partnern und der </w:t>
      </w:r>
      <w:r w:rsidR="00517291" w:rsidRPr="00845F6F">
        <w:rPr>
          <w:rFonts w:eastAsia="Times New Roman"/>
          <w:highlight w:val="yellow"/>
        </w:rPr>
        <w:t>&lt;Institution&gt;</w:t>
      </w:r>
      <w:r w:rsidRPr="00845F6F">
        <w:rPr>
          <w:rFonts w:eastAsia="Times New Roman"/>
        </w:rPr>
        <w:t xml:space="preserve"> gefährden,</w:t>
      </w:r>
    </w:p>
    <w:p w14:paraId="2C91677F" w14:textId="77777777" w:rsidR="00E42A14" w:rsidRPr="00845F6F" w:rsidRDefault="00487E8F" w:rsidP="00845F6F">
      <w:pPr>
        <w:pStyle w:val="Listenabsatz"/>
        <w:numPr>
          <w:ilvl w:val="0"/>
          <w:numId w:val="2"/>
        </w:numPr>
        <w:rPr>
          <w:rFonts w:eastAsia="Times New Roman"/>
        </w:rPr>
      </w:pPr>
      <w:r w:rsidRPr="00845F6F">
        <w:rPr>
          <w:rFonts w:eastAsia="Times New Roman"/>
        </w:rPr>
        <w:t>welche Persönlichkeitsrechte von Partnern, Mitarbeitenden oder anderen Betroffenen verletzen und</w:t>
      </w:r>
    </w:p>
    <w:p w14:paraId="613C3F90" w14:textId="77777777" w:rsidR="00E42A14" w:rsidRPr="00845F6F" w:rsidRDefault="00487E8F" w:rsidP="00845F6F">
      <w:pPr>
        <w:pStyle w:val="Listenabsatz"/>
        <w:numPr>
          <w:ilvl w:val="0"/>
          <w:numId w:val="2"/>
        </w:numPr>
        <w:rPr>
          <w:rFonts w:eastAsia="Times New Roman"/>
        </w:rPr>
      </w:pPr>
      <w:r w:rsidRPr="00845F6F">
        <w:rPr>
          <w:rFonts w:eastAsia="Times New Roman"/>
        </w:rPr>
        <w:t xml:space="preserve">die der </w:t>
      </w:r>
      <w:r w:rsidR="00517291" w:rsidRPr="00845F6F">
        <w:rPr>
          <w:rFonts w:eastAsia="Times New Roman"/>
          <w:highlight w:val="yellow"/>
        </w:rPr>
        <w:t>&lt;Institution&gt;</w:t>
      </w:r>
      <w:r w:rsidRPr="00845F6F">
        <w:rPr>
          <w:rFonts w:eastAsia="Times New Roman"/>
        </w:rPr>
        <w:t xml:space="preserve"> durch das Kompromittieren der Sicherheit von Daten oder Geschäftsinformationen tatsächlich oder potenziell finanzielle Verluste einbringen.</w:t>
      </w:r>
    </w:p>
    <w:p w14:paraId="5F5F5BA4" w14:textId="77777777" w:rsidR="00E42A14" w:rsidRPr="006B0BDE" w:rsidRDefault="00487E8F" w:rsidP="00845F6F">
      <w:r w:rsidRPr="006B0BDE">
        <w:t xml:space="preserve">Die Nichteinhaltung oder bewusste Verletzung der </w:t>
      </w:r>
      <w:r w:rsidR="00237ECF" w:rsidRPr="006B0BDE">
        <w:t>„</w:t>
      </w:r>
      <w:r w:rsidRPr="006B0BDE">
        <w:t>Leitlinie zur Informationssicherheit</w:t>
      </w:r>
      <w:r w:rsidR="00237ECF" w:rsidRPr="006B0BDE">
        <w:t>“</w:t>
      </w:r>
      <w:r w:rsidRPr="006B0BDE">
        <w:t xml:space="preserve"> und der nachgeltenden Dokumente kann zu einer den arbeitsrechtlich zugrunde liegenden Haftungsmaßnahmen führen.</w:t>
      </w:r>
    </w:p>
    <w:sectPr w:rsidR="00E42A14" w:rsidRPr="006B0BDE" w:rsidSect="00A5360C">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F323" w14:textId="77777777" w:rsidR="009418D6" w:rsidRDefault="009418D6" w:rsidP="00845F6F">
      <w:r>
        <w:separator/>
      </w:r>
    </w:p>
  </w:endnote>
  <w:endnote w:type="continuationSeparator" w:id="0">
    <w:p w14:paraId="3E84308C" w14:textId="77777777" w:rsidR="009418D6" w:rsidRDefault="009418D6"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64171142" w:rsidR="004C1597" w:rsidRPr="00CD200D" w:rsidRDefault="004C1597" w:rsidP="00845F6F">
            <w:pPr>
              <w:pStyle w:val="Fuzeile"/>
            </w:pPr>
            <w:r w:rsidRPr="00CD200D">
              <w:t>Leitlinie</w:t>
            </w:r>
            <w:r w:rsidRPr="00CD200D">
              <w:tab/>
            </w:r>
            <w:r w:rsidRPr="00CD200D">
              <w:rPr>
                <w:color w:val="FF0000"/>
                <w:sz w:val="32"/>
                <w:szCs w:val="32"/>
              </w:rPr>
              <w:t xml:space="preserve">- </w:t>
            </w:r>
            <w:r w:rsidR="00CD200D" w:rsidRPr="00CD200D">
              <w:rPr>
                <w:color w:val="FF0000"/>
                <w:sz w:val="32"/>
                <w:szCs w:val="32"/>
              </w:rPr>
              <w:t>intern</w:t>
            </w:r>
            <w:r w:rsidRPr="00CD200D">
              <w:rPr>
                <w:color w:val="FF0000"/>
                <w:sz w:val="32"/>
                <w:szCs w:val="32"/>
              </w:rPr>
              <w:t xml:space="preserve"> -</w:t>
            </w:r>
            <w:r w:rsidRPr="00CD200D">
              <w:tab/>
              <w:t xml:space="preserve">Seite </w:t>
            </w:r>
            <w:r w:rsidRPr="00CD200D">
              <w:rPr>
                <w:rStyle w:val="Seitenzahl"/>
                <w:rFonts w:asciiTheme="minorHAnsi" w:hAnsiTheme="minorHAnsi"/>
                <w:sz w:val="18"/>
                <w:szCs w:val="18"/>
              </w:rPr>
              <w:fldChar w:fldCharType="begin"/>
            </w:r>
            <w:r w:rsidRPr="00CD200D">
              <w:rPr>
                <w:rStyle w:val="Seitenzahl"/>
                <w:rFonts w:asciiTheme="minorHAnsi" w:hAnsiTheme="minorHAnsi"/>
                <w:sz w:val="18"/>
                <w:szCs w:val="18"/>
              </w:rPr>
              <w:instrText xml:space="preserve"> PAGE </w:instrText>
            </w:r>
            <w:r w:rsidRPr="00CD200D">
              <w:rPr>
                <w:rStyle w:val="Seitenzahl"/>
                <w:rFonts w:asciiTheme="minorHAnsi" w:hAnsiTheme="minorHAnsi"/>
                <w:sz w:val="18"/>
                <w:szCs w:val="18"/>
              </w:rPr>
              <w:fldChar w:fldCharType="separate"/>
            </w:r>
            <w:r w:rsidRPr="00CD200D">
              <w:rPr>
                <w:rStyle w:val="Seitenzahl"/>
                <w:rFonts w:asciiTheme="minorHAnsi" w:hAnsiTheme="minorHAnsi"/>
                <w:sz w:val="18"/>
                <w:szCs w:val="18"/>
              </w:rPr>
              <w:t>II</w:t>
            </w:r>
            <w:r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6958" w14:textId="77777777" w:rsidR="009418D6" w:rsidRDefault="009418D6" w:rsidP="00845F6F">
      <w:r>
        <w:separator/>
      </w:r>
    </w:p>
  </w:footnote>
  <w:footnote w:type="continuationSeparator" w:id="0">
    <w:p w14:paraId="3A51F8E7" w14:textId="77777777" w:rsidR="009418D6" w:rsidRDefault="009418D6"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7DE"/>
    <w:multiLevelType w:val="multilevel"/>
    <w:tmpl w:val="1E7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213F"/>
    <w:multiLevelType w:val="multilevel"/>
    <w:tmpl w:val="2A4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C3193"/>
    <w:rsid w:val="000E7BFC"/>
    <w:rsid w:val="000F54B1"/>
    <w:rsid w:val="00237ECF"/>
    <w:rsid w:val="002B2257"/>
    <w:rsid w:val="00385015"/>
    <w:rsid w:val="00487E8F"/>
    <w:rsid w:val="004B168A"/>
    <w:rsid w:val="004B6255"/>
    <w:rsid w:val="004C1597"/>
    <w:rsid w:val="00512A54"/>
    <w:rsid w:val="00517291"/>
    <w:rsid w:val="005A70D1"/>
    <w:rsid w:val="00692D88"/>
    <w:rsid w:val="006B0BDE"/>
    <w:rsid w:val="0073083A"/>
    <w:rsid w:val="00845F6F"/>
    <w:rsid w:val="009418D6"/>
    <w:rsid w:val="00964E12"/>
    <w:rsid w:val="009D5026"/>
    <w:rsid w:val="00A5360C"/>
    <w:rsid w:val="00CD200D"/>
    <w:rsid w:val="00E42A14"/>
    <w:rsid w:val="00E66380"/>
    <w:rsid w:val="00F25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1456</Words>
  <Characters>11291</Characters>
  <Application>Microsoft Office Word</Application>
  <DocSecurity>0</DocSecurity>
  <Lines>470</Lines>
  <Paragraphs>277</Paragraphs>
  <ScaleCrop>false</ScaleCrop>
  <HeadingPairs>
    <vt:vector size="2" baseType="variant">
      <vt:variant>
        <vt:lpstr>Titel</vt:lpstr>
      </vt:variant>
      <vt:variant>
        <vt:i4>1</vt:i4>
      </vt:variant>
    </vt:vector>
  </HeadingPairs>
  <TitlesOfParts>
    <vt:vector size="1" baseType="lpstr">
      <vt:lpstr>Leitlinie zur Informationssicherheit</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Leitlinie zur Informationssicherheit</dc:title>
  <dc:subject/>
  <dc:creator>Jens Mahnke</dc:creator>
  <cp:keywords/>
  <dc:description/>
  <cp:lastModifiedBy>Jens Mahnke</cp:lastModifiedBy>
  <cp:revision>6</cp:revision>
  <cp:lastPrinted>2021-06-19T09:41:00Z</cp:lastPrinted>
  <dcterms:created xsi:type="dcterms:W3CDTF">2021-06-19T09:40:00Z</dcterms:created>
  <dcterms:modified xsi:type="dcterms:W3CDTF">2021-07-31T16:10:00Z</dcterms:modified>
</cp:coreProperties>
</file>